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E90B" w14:textId="15012C84" w:rsidR="00D07C27" w:rsidRPr="00D57B30" w:rsidRDefault="00D57B30" w:rsidP="008246F4">
      <w:pPr>
        <w:pStyle w:val="Ttulo1"/>
        <w:ind w:right="545"/>
        <w:rPr>
          <w:color w:val="1F4E79" w:themeColor="accent1" w:themeShade="80"/>
        </w:rPr>
      </w:pPr>
      <w:r>
        <w:rPr>
          <w:color w:val="1F4E79" w:themeColor="accent1" w:themeShade="80"/>
        </w:rPr>
        <w:t>Tema 23 del orden del día: Actualización y discusión sobre incorporación y apoyo financiero para viajes del GAC</w:t>
      </w:r>
    </w:p>
    <w:p w14:paraId="3E46E303" w14:textId="2AA6AD59" w:rsidR="00AA78F5" w:rsidRPr="00AA78F5" w:rsidRDefault="00AA78F5" w:rsidP="00EE2665">
      <w:pPr>
        <w:pStyle w:val="Ttulo2"/>
        <w:rPr>
          <w:sz w:val="20"/>
          <w:szCs w:val="20"/>
        </w:rPr>
      </w:pPr>
      <w:r>
        <w:rPr>
          <w:sz w:val="20"/>
          <w:szCs w:val="20"/>
        </w:rPr>
        <w:t xml:space="preserve">Nota: </w:t>
      </w:r>
      <w:r>
        <w:rPr>
          <w:b w:val="0"/>
          <w:color w:val="auto"/>
          <w:sz w:val="20"/>
          <w:szCs w:val="20"/>
        </w:rPr>
        <w:t>el presente documento informativo ha sido elaborado por el personal de apoyo de la ICANN.</w:t>
      </w:r>
    </w:p>
    <w:p w14:paraId="527317F7" w14:textId="7E592E01" w:rsidR="007F47EB" w:rsidRDefault="00F60D91" w:rsidP="00EE2665">
      <w:pPr>
        <w:pStyle w:val="Ttulo2"/>
      </w:pPr>
      <w:r>
        <w:t>Cuestión</w:t>
      </w:r>
    </w:p>
    <w:p w14:paraId="205CFAA1" w14:textId="77777777" w:rsidR="00AA78F5" w:rsidRDefault="00AA78F5" w:rsidP="00AA78F5">
      <w:pPr>
        <w:pStyle w:val="Ttulo3"/>
        <w:jc w:val="both"/>
        <w:rPr>
          <w:color w:val="1155CC"/>
          <w:sz w:val="22"/>
        </w:rPr>
      </w:pPr>
      <w:r>
        <w:rPr>
          <w:color w:val="1155CC"/>
          <w:sz w:val="22"/>
        </w:rPr>
        <w:t>Incorporación al GAC</w:t>
      </w:r>
    </w:p>
    <w:p w14:paraId="2A07C775" w14:textId="77777777" w:rsidR="00AA78F5" w:rsidRDefault="00AA78F5" w:rsidP="00AA78F5">
      <w:pPr>
        <w:pStyle w:val="Ttulo3"/>
        <w:rPr>
          <w:b w:val="0"/>
          <w:color w:val="000000"/>
          <w:sz w:val="22"/>
        </w:rPr>
      </w:pPr>
      <w:bookmarkStart w:id="0" w:name="_h8ydohwrf0ci"/>
      <w:bookmarkEnd w:id="0"/>
      <w:r>
        <w:rPr>
          <w:b w:val="0"/>
          <w:color w:val="000000"/>
          <w:sz w:val="22"/>
        </w:rPr>
        <w:t>Durante los últimos dos años, los miembros del Grupo de Trabajo del GAC para Regiones Subatendidas, el Equipo de Participación Gubernamental de la ICANN, el Equipo de Participación Global de Partes Interesadas de la ICANN y el personal de Apoyo del GAC han estado trabajando para desarrollar nuevos modos para mejorar el intercambio de información para los participantes del GAC (tanto nuevos participantes como representantes de miembros experimentados) sobre el trabajo del GAC y el rol del comité en la comunidad de la ICANN.</w:t>
      </w:r>
    </w:p>
    <w:p w14:paraId="077BAC99"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 xml:space="preserve">En solo los últimos meses (desde la reunión ICANN 61), veintidós (22) representantes de miembros nuevos se han incorporado al GAC.  Debido a la alta rotación de los participantes del GAC, es esencial que todos los nuevos participantes tengan una incorporación adecuada, conozcan los temas y cuestiones de importancia para el GAC y obtengan asesoramiento sobre cómo pueden contribuir al GAC de la manera más eficaz en su rol asesor vital dentro de la comunidad de la ICANN. </w:t>
      </w:r>
    </w:p>
    <w:p w14:paraId="2E991BEF"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Con el fin de brindar asistencia y apoyo a los nuevos miembros, observadores y representantes del GAC, se han iniciado tres iniciativas piloto principales.</w:t>
      </w:r>
    </w:p>
    <w:p w14:paraId="42D17C10"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b/>
          <w:sz w:val="22"/>
          <w:szCs w:val="22"/>
        </w:rPr>
        <w:t>1 -  Talleres de creación de capacidades.</w:t>
      </w:r>
      <w:r>
        <w:rPr>
          <w:rFonts w:ascii="Century Gothic" w:hAnsi="Century Gothic"/>
          <w:sz w:val="22"/>
          <w:szCs w:val="22"/>
        </w:rPr>
        <w:br/>
      </w:r>
      <w:hyperlink r:id="rId9">
        <w:r>
          <w:rPr>
            <w:rFonts w:ascii="Century Gothic" w:hAnsi="Century Gothic"/>
            <w:color w:val="1155CC"/>
            <w:sz w:val="22"/>
            <w:szCs w:val="22"/>
            <w:u w:val="single"/>
          </w:rPr>
          <w:t>https://gac.icann.org/activity/gac-capacity-development-workshops-2017-2018</w:t>
        </w:r>
      </w:hyperlink>
      <w:r>
        <w:rPr>
          <w:rFonts w:ascii="Century Gothic" w:hAnsi="Century Gothic"/>
          <w:sz w:val="22"/>
          <w:szCs w:val="22"/>
        </w:rPr>
        <w:t xml:space="preserve"> </w:t>
      </w:r>
    </w:p>
    <w:p w14:paraId="79913C4A"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Este proyecto se inició después de ICANN 56 en Helsinki, liderado por el Grupo de Trabajo del GAC para Regiones Subatendidas, el Equipo de Participación Gubernamental y el Equipo de Participación Global de Partes Interesadas de la ICANN.  El objetivo de esta iniciativa ha sido ayudar a los representantes del GAC a comprender mejor el modelo de comunidad empoderada de la ICANN, el rol del GAC en dicho modelo y cómo el comité contribuye a varios Procesos de Desarrollo de Políticas de la ICANN.</w:t>
      </w:r>
    </w:p>
    <w:p w14:paraId="53C2D1DA"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El taller de creación de capacidades de día completo que se llevará a cabo el sábado 24 de junio en la ciudad de Panamá representa el octavo taller de esta iniciativa. Para conocer más sobre este proyecto y los próximos pasos, consulte el documento informativo Tema 2 del orden del día - Informe preliminar del taller de creación de capacidades del GAC.</w:t>
      </w:r>
    </w:p>
    <w:p w14:paraId="73F9727B" w14:textId="77777777" w:rsidR="00AA78F5" w:rsidRDefault="00AA78F5" w:rsidP="00AA78F5">
      <w:pPr>
        <w:pBdr>
          <w:top w:val="nil"/>
          <w:left w:val="nil"/>
          <w:bottom w:val="nil"/>
          <w:right w:val="nil"/>
          <w:between w:val="nil"/>
        </w:pBdr>
        <w:spacing w:after="200"/>
        <w:rPr>
          <w:rFonts w:ascii="Century Gothic" w:eastAsia="Century Gothic" w:hAnsi="Century Gothic" w:cs="Century Gothic"/>
          <w:sz w:val="22"/>
          <w:szCs w:val="22"/>
        </w:rPr>
      </w:pPr>
      <w:r>
        <w:rPr>
          <w:rFonts w:ascii="Century Gothic" w:hAnsi="Century Gothic"/>
          <w:b/>
          <w:sz w:val="22"/>
          <w:szCs w:val="22"/>
        </w:rPr>
        <w:t>2 - Programa piloto de serie de seminarios web introductorios del GAC.</w:t>
      </w:r>
      <w:r>
        <w:rPr>
          <w:rFonts w:ascii="Century Gothic" w:hAnsi="Century Gothic"/>
          <w:b/>
          <w:sz w:val="22"/>
          <w:szCs w:val="22"/>
        </w:rPr>
        <w:br/>
      </w:r>
      <w:hyperlink r:id="rId10">
        <w:r>
          <w:rPr>
            <w:rFonts w:ascii="Century Gothic" w:hAnsi="Century Gothic"/>
            <w:color w:val="1155CC"/>
            <w:sz w:val="22"/>
            <w:szCs w:val="22"/>
            <w:u w:val="single"/>
          </w:rPr>
          <w:t>https://gac.icann.org/activity/gac-introductory-webinar-series-pilot-edition</w:t>
        </w:r>
      </w:hyperlink>
      <w:r>
        <w:rPr>
          <w:rFonts w:ascii="Century Gothic" w:hAnsi="Century Gothic"/>
          <w:sz w:val="22"/>
          <w:szCs w:val="22"/>
        </w:rPr>
        <w:t xml:space="preserve"> </w:t>
      </w:r>
    </w:p>
    <w:p w14:paraId="43A9D42A" w14:textId="77777777" w:rsidR="00AA78F5" w:rsidRDefault="00AA78F5" w:rsidP="00AA78F5">
      <w:pPr>
        <w:pBdr>
          <w:top w:val="nil"/>
          <w:left w:val="nil"/>
          <w:bottom w:val="nil"/>
          <w:right w:val="nil"/>
          <w:between w:val="nil"/>
        </w:pBdr>
        <w:spacing w:after="200"/>
        <w:rPr>
          <w:rFonts w:ascii="Century Gothic" w:eastAsia="Century Gothic" w:hAnsi="Century Gothic" w:cs="Century Gothic"/>
          <w:sz w:val="22"/>
          <w:szCs w:val="22"/>
        </w:rPr>
      </w:pPr>
      <w:r>
        <w:rPr>
          <w:rFonts w:ascii="Century Gothic" w:hAnsi="Century Gothic"/>
          <w:sz w:val="22"/>
          <w:szCs w:val="22"/>
        </w:rPr>
        <w:lastRenderedPageBreak/>
        <w:t>Este proyecto piloto se inició con posterioridad a la reunión ICANN 61 después de discusiones conjuntas de la comunidad con el GAC. Durante las últimas seis semanas, se han llevado a cabo tres seminarios web:</w:t>
      </w:r>
    </w:p>
    <w:p w14:paraId="653D3648" w14:textId="77777777" w:rsidR="00AA78F5" w:rsidRDefault="00AA78F5" w:rsidP="00AA78F5">
      <w:pPr>
        <w:numPr>
          <w:ilvl w:val="0"/>
          <w:numId w:val="39"/>
        </w:numPr>
        <w:pBdr>
          <w:top w:val="nil"/>
          <w:left w:val="nil"/>
          <w:bottom w:val="nil"/>
          <w:right w:val="nil"/>
          <w:between w:val="nil"/>
        </w:pBdr>
        <w:spacing w:after="200"/>
        <w:contextualSpacing/>
        <w:rPr>
          <w:rFonts w:ascii="Century Gothic" w:eastAsia="Century Gothic" w:hAnsi="Century Gothic" w:cs="Century Gothic"/>
          <w:sz w:val="22"/>
          <w:szCs w:val="22"/>
        </w:rPr>
      </w:pPr>
      <w:r>
        <w:rPr>
          <w:rFonts w:ascii="Century Gothic" w:hAnsi="Century Gothic"/>
          <w:sz w:val="22"/>
          <w:szCs w:val="22"/>
        </w:rPr>
        <w:t xml:space="preserve">Una descripción general de la Iniciativa de Transparencia de la Información de la ICANN - 15 de mayo (véase </w:t>
      </w:r>
      <w:hyperlink r:id="rId11">
        <w:r>
          <w:rPr>
            <w:rFonts w:ascii="Century Gothic" w:hAnsi="Century Gothic"/>
            <w:color w:val="1155CC"/>
            <w:sz w:val="22"/>
            <w:szCs w:val="22"/>
            <w:u w:val="single"/>
          </w:rPr>
          <w:t>https://gac.icann.org/sessions/gac-introductory-webinar-series-information-transparency-initiative-iti</w:t>
        </w:r>
      </w:hyperlink>
      <w:r>
        <w:rPr>
          <w:rFonts w:ascii="Century Gothic" w:hAnsi="Century Gothic"/>
          <w:sz w:val="22"/>
          <w:szCs w:val="22"/>
        </w:rPr>
        <w:t>;</w:t>
      </w:r>
    </w:p>
    <w:p w14:paraId="78585EFD" w14:textId="77777777" w:rsidR="00AA78F5" w:rsidRDefault="00AA78F5" w:rsidP="00AA78F5">
      <w:pPr>
        <w:numPr>
          <w:ilvl w:val="0"/>
          <w:numId w:val="39"/>
        </w:numPr>
        <w:pBdr>
          <w:top w:val="nil"/>
          <w:left w:val="nil"/>
          <w:bottom w:val="nil"/>
          <w:right w:val="nil"/>
          <w:between w:val="nil"/>
        </w:pBdr>
        <w:spacing w:after="200"/>
        <w:contextualSpacing/>
        <w:rPr>
          <w:rFonts w:ascii="Century Gothic" w:eastAsia="Century Gothic" w:hAnsi="Century Gothic" w:cs="Century Gothic"/>
          <w:sz w:val="22"/>
          <w:szCs w:val="22"/>
        </w:rPr>
      </w:pPr>
      <w:r>
        <w:rPr>
          <w:rFonts w:ascii="Century Gothic" w:hAnsi="Century Gothic"/>
          <w:sz w:val="22"/>
          <w:szCs w:val="22"/>
        </w:rPr>
        <w:t xml:space="preserve">Aspectos básicos sobre la GNSO y el Proceso de Desarrollo de Políticas - 23 de mayo (véase </w:t>
      </w:r>
      <w:hyperlink r:id="rId12">
        <w:r>
          <w:rPr>
            <w:rFonts w:ascii="Century Gothic" w:hAnsi="Century Gothic"/>
            <w:color w:val="1155CC"/>
            <w:sz w:val="22"/>
            <w:szCs w:val="22"/>
            <w:u w:val="single"/>
          </w:rPr>
          <w:t>https://gac.icann.org/sessions/gac-introductory-webinar-series-about-the-gnso-and-policy-development-process-pdp</w:t>
        </w:r>
      </w:hyperlink>
      <w:r>
        <w:rPr>
          <w:rFonts w:ascii="Century Gothic" w:hAnsi="Century Gothic"/>
          <w:sz w:val="22"/>
          <w:szCs w:val="22"/>
        </w:rPr>
        <w:t>; y</w:t>
      </w:r>
    </w:p>
    <w:p w14:paraId="71411342" w14:textId="77777777" w:rsidR="00AA78F5" w:rsidRDefault="00AA78F5" w:rsidP="00AA78F5">
      <w:pPr>
        <w:numPr>
          <w:ilvl w:val="0"/>
          <w:numId w:val="39"/>
        </w:numPr>
        <w:pBdr>
          <w:top w:val="nil"/>
          <w:left w:val="nil"/>
          <w:bottom w:val="nil"/>
          <w:right w:val="nil"/>
          <w:between w:val="nil"/>
        </w:pBdr>
        <w:spacing w:after="200"/>
        <w:contextualSpacing/>
        <w:rPr>
          <w:rFonts w:ascii="Century Gothic" w:eastAsia="Century Gothic" w:hAnsi="Century Gothic" w:cs="Century Gothic"/>
          <w:sz w:val="22"/>
          <w:szCs w:val="22"/>
        </w:rPr>
      </w:pPr>
      <w:r>
        <w:rPr>
          <w:rFonts w:ascii="Century Gothic" w:hAnsi="Century Gothic"/>
          <w:sz w:val="22"/>
          <w:szCs w:val="22"/>
        </w:rPr>
        <w:t xml:space="preserve">Introducción a la Oficina de Reclamos de la ICANN - 31 de mayo (véase </w:t>
      </w:r>
      <w:hyperlink r:id="rId13">
        <w:r>
          <w:rPr>
            <w:rFonts w:ascii="Century Gothic" w:hAnsi="Century Gothic"/>
            <w:color w:val="1155CC"/>
            <w:sz w:val="22"/>
            <w:szCs w:val="22"/>
            <w:u w:val="single"/>
          </w:rPr>
          <w:t>https://gac.icann.org/sessions/gac-introductory-webinar-series-icann-s-complaint-office</w:t>
        </w:r>
      </w:hyperlink>
    </w:p>
    <w:p w14:paraId="688CB4D9" w14:textId="77777777" w:rsidR="00AA78F5" w:rsidRDefault="00AA78F5" w:rsidP="00AA78F5">
      <w:pPr>
        <w:pBdr>
          <w:top w:val="nil"/>
          <w:left w:val="nil"/>
          <w:bottom w:val="nil"/>
          <w:right w:val="nil"/>
          <w:between w:val="nil"/>
        </w:pBdr>
        <w:spacing w:after="200"/>
        <w:rPr>
          <w:rFonts w:ascii="Century Gothic" w:eastAsia="Century Gothic" w:hAnsi="Century Gothic" w:cs="Century Gothic"/>
          <w:sz w:val="22"/>
          <w:szCs w:val="22"/>
        </w:rPr>
      </w:pPr>
      <w:r>
        <w:rPr>
          <w:rFonts w:ascii="Century Gothic" w:hAnsi="Century Gothic"/>
          <w:sz w:val="22"/>
          <w:szCs w:val="22"/>
        </w:rPr>
        <w:t>En general, veintinueve (29) miembros y tres (3) observadores del GAC han asistido al menos a una de las sesiones del seminario web.  Los comentarios y aportes de los asistentes que se recopilaron después de cada seminario web están permitiendo que el personal diseñe el formato, contenido y gama de temas que son de interés para los participantes del GAC.  Los aportes ayudarán a informar otros seminarios web introductorios durante los próximos meses.</w:t>
      </w:r>
    </w:p>
    <w:p w14:paraId="7902DBFE" w14:textId="77777777" w:rsidR="00AA78F5" w:rsidRDefault="00AA78F5" w:rsidP="00AA78F5">
      <w:pPr>
        <w:pBdr>
          <w:top w:val="nil"/>
          <w:left w:val="nil"/>
          <w:bottom w:val="nil"/>
          <w:right w:val="nil"/>
          <w:between w:val="nil"/>
        </w:pBdr>
        <w:spacing w:after="200"/>
        <w:rPr>
          <w:rFonts w:ascii="Century Gothic" w:eastAsia="Century Gothic" w:hAnsi="Century Gothic" w:cs="Century Gothic"/>
          <w:sz w:val="20"/>
          <w:szCs w:val="20"/>
        </w:rPr>
      </w:pPr>
    </w:p>
    <w:tbl>
      <w:tblPr>
        <w:tblW w:w="11685" w:type="dxa"/>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335"/>
        <w:gridCol w:w="1230"/>
        <w:gridCol w:w="1665"/>
        <w:gridCol w:w="1200"/>
        <w:gridCol w:w="1635"/>
        <w:gridCol w:w="1635"/>
        <w:gridCol w:w="1665"/>
      </w:tblGrid>
      <w:tr w:rsidR="00AA78F5" w14:paraId="65BD1B5F" w14:textId="77777777" w:rsidTr="006F7178">
        <w:tc>
          <w:tcPr>
            <w:tcW w:w="1320" w:type="dxa"/>
            <w:shd w:val="clear" w:color="auto" w:fill="auto"/>
            <w:tcMar>
              <w:top w:w="100" w:type="dxa"/>
              <w:left w:w="100" w:type="dxa"/>
              <w:bottom w:w="100" w:type="dxa"/>
              <w:right w:w="100" w:type="dxa"/>
            </w:tcMar>
          </w:tcPr>
          <w:p w14:paraId="7DBEA671"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Temas del seminario web</w:t>
            </w:r>
          </w:p>
        </w:tc>
        <w:tc>
          <w:tcPr>
            <w:tcW w:w="1335" w:type="dxa"/>
            <w:shd w:val="clear" w:color="auto" w:fill="auto"/>
            <w:tcMar>
              <w:top w:w="100" w:type="dxa"/>
              <w:left w:w="100" w:type="dxa"/>
              <w:bottom w:w="100" w:type="dxa"/>
              <w:right w:w="100" w:type="dxa"/>
            </w:tcMar>
          </w:tcPr>
          <w:p w14:paraId="160430F8"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Miembros que confirmaron su asistencia</w:t>
            </w:r>
          </w:p>
        </w:tc>
        <w:tc>
          <w:tcPr>
            <w:tcW w:w="1230" w:type="dxa"/>
            <w:shd w:val="clear" w:color="auto" w:fill="auto"/>
            <w:tcMar>
              <w:top w:w="100" w:type="dxa"/>
              <w:left w:w="100" w:type="dxa"/>
              <w:bottom w:w="100" w:type="dxa"/>
              <w:right w:w="100" w:type="dxa"/>
            </w:tcMar>
          </w:tcPr>
          <w:p w14:paraId="39D74D92"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Miembros que asistieron al seminario web</w:t>
            </w:r>
          </w:p>
        </w:tc>
        <w:tc>
          <w:tcPr>
            <w:tcW w:w="1665" w:type="dxa"/>
            <w:shd w:val="clear" w:color="auto" w:fill="auto"/>
            <w:tcMar>
              <w:top w:w="100" w:type="dxa"/>
              <w:left w:w="100" w:type="dxa"/>
              <w:bottom w:w="100" w:type="dxa"/>
              <w:right w:w="100" w:type="dxa"/>
            </w:tcMar>
          </w:tcPr>
          <w:p w14:paraId="13C7ABB7"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 xml:space="preserve">Nuevos participantes (desde ICANN 61) que asistieron </w:t>
            </w:r>
          </w:p>
        </w:tc>
        <w:tc>
          <w:tcPr>
            <w:tcW w:w="1200" w:type="dxa"/>
            <w:shd w:val="clear" w:color="auto" w:fill="auto"/>
            <w:tcMar>
              <w:top w:w="100" w:type="dxa"/>
              <w:left w:w="100" w:type="dxa"/>
              <w:bottom w:w="100" w:type="dxa"/>
              <w:right w:w="100" w:type="dxa"/>
            </w:tcMar>
          </w:tcPr>
          <w:p w14:paraId="6E133E81"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 xml:space="preserve">Miembros que brindaron comentarios </w:t>
            </w:r>
          </w:p>
        </w:tc>
        <w:tc>
          <w:tcPr>
            <w:tcW w:w="1635" w:type="dxa"/>
            <w:shd w:val="clear" w:color="auto" w:fill="auto"/>
            <w:tcMar>
              <w:top w:w="100" w:type="dxa"/>
              <w:left w:w="100" w:type="dxa"/>
              <w:bottom w:w="100" w:type="dxa"/>
              <w:right w:w="100" w:type="dxa"/>
            </w:tcMar>
          </w:tcPr>
          <w:p w14:paraId="7351CF73"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Resumen de comentarios</w:t>
            </w:r>
          </w:p>
        </w:tc>
        <w:tc>
          <w:tcPr>
            <w:tcW w:w="1635" w:type="dxa"/>
            <w:shd w:val="clear" w:color="auto" w:fill="auto"/>
            <w:tcMar>
              <w:top w:w="100" w:type="dxa"/>
              <w:left w:w="100" w:type="dxa"/>
              <w:bottom w:w="100" w:type="dxa"/>
              <w:right w:w="100" w:type="dxa"/>
            </w:tcMar>
          </w:tcPr>
          <w:p w14:paraId="249060E5"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Sugerencias sobre mejoras al seminario web</w:t>
            </w:r>
          </w:p>
        </w:tc>
        <w:tc>
          <w:tcPr>
            <w:tcW w:w="1665" w:type="dxa"/>
            <w:shd w:val="clear" w:color="auto" w:fill="auto"/>
            <w:tcMar>
              <w:top w:w="100" w:type="dxa"/>
              <w:left w:w="100" w:type="dxa"/>
              <w:bottom w:w="100" w:type="dxa"/>
              <w:right w:w="100" w:type="dxa"/>
            </w:tcMar>
          </w:tcPr>
          <w:p w14:paraId="51E1FD3E"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Temas sugeridos para futuros seminarios web</w:t>
            </w:r>
          </w:p>
        </w:tc>
      </w:tr>
      <w:tr w:rsidR="00AA78F5" w14:paraId="1AAA7024" w14:textId="77777777" w:rsidTr="006F7178">
        <w:tc>
          <w:tcPr>
            <w:tcW w:w="1320" w:type="dxa"/>
            <w:shd w:val="clear" w:color="auto" w:fill="auto"/>
            <w:tcMar>
              <w:top w:w="100" w:type="dxa"/>
              <w:left w:w="100" w:type="dxa"/>
              <w:bottom w:w="100" w:type="dxa"/>
              <w:right w:w="100" w:type="dxa"/>
            </w:tcMar>
          </w:tcPr>
          <w:p w14:paraId="22D00246"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ITI</w:t>
            </w:r>
          </w:p>
        </w:tc>
        <w:tc>
          <w:tcPr>
            <w:tcW w:w="1335" w:type="dxa"/>
            <w:shd w:val="clear" w:color="auto" w:fill="auto"/>
            <w:tcMar>
              <w:top w:w="100" w:type="dxa"/>
              <w:left w:w="100" w:type="dxa"/>
              <w:bottom w:w="100" w:type="dxa"/>
              <w:right w:w="100" w:type="dxa"/>
            </w:tcMar>
          </w:tcPr>
          <w:p w14:paraId="20F40D73"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24</w:t>
            </w:r>
          </w:p>
        </w:tc>
        <w:tc>
          <w:tcPr>
            <w:tcW w:w="1230" w:type="dxa"/>
            <w:shd w:val="clear" w:color="auto" w:fill="auto"/>
            <w:tcMar>
              <w:top w:w="100" w:type="dxa"/>
              <w:left w:w="100" w:type="dxa"/>
              <w:bottom w:w="100" w:type="dxa"/>
              <w:right w:w="100" w:type="dxa"/>
            </w:tcMar>
          </w:tcPr>
          <w:p w14:paraId="4DB4BC55"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12</w:t>
            </w:r>
          </w:p>
        </w:tc>
        <w:tc>
          <w:tcPr>
            <w:tcW w:w="1665" w:type="dxa"/>
            <w:shd w:val="clear" w:color="auto" w:fill="auto"/>
            <w:tcMar>
              <w:top w:w="100" w:type="dxa"/>
              <w:left w:w="100" w:type="dxa"/>
              <w:bottom w:w="100" w:type="dxa"/>
              <w:right w:w="100" w:type="dxa"/>
            </w:tcMar>
          </w:tcPr>
          <w:p w14:paraId="29A9F4A1"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2</w:t>
            </w:r>
          </w:p>
        </w:tc>
        <w:tc>
          <w:tcPr>
            <w:tcW w:w="1200" w:type="dxa"/>
            <w:shd w:val="clear" w:color="auto" w:fill="auto"/>
            <w:tcMar>
              <w:top w:w="100" w:type="dxa"/>
              <w:left w:w="100" w:type="dxa"/>
              <w:bottom w:w="100" w:type="dxa"/>
              <w:right w:w="100" w:type="dxa"/>
            </w:tcMar>
          </w:tcPr>
          <w:p w14:paraId="781A7F9B"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w:t>
            </w:r>
          </w:p>
        </w:tc>
        <w:tc>
          <w:tcPr>
            <w:tcW w:w="1635" w:type="dxa"/>
            <w:shd w:val="clear" w:color="auto" w:fill="auto"/>
            <w:tcMar>
              <w:top w:w="100" w:type="dxa"/>
              <w:left w:w="100" w:type="dxa"/>
              <w:bottom w:w="100" w:type="dxa"/>
              <w:right w:w="100" w:type="dxa"/>
            </w:tcMar>
          </w:tcPr>
          <w:p w14:paraId="2B9E4336"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Información valiosa sobe el nuevo proyecto de la ICANN</w:t>
            </w:r>
          </w:p>
        </w:tc>
        <w:tc>
          <w:tcPr>
            <w:tcW w:w="1635" w:type="dxa"/>
            <w:shd w:val="clear" w:color="auto" w:fill="auto"/>
            <w:tcMar>
              <w:top w:w="100" w:type="dxa"/>
              <w:left w:w="100" w:type="dxa"/>
              <w:bottom w:w="100" w:type="dxa"/>
              <w:right w:w="100" w:type="dxa"/>
            </w:tcMar>
          </w:tcPr>
          <w:p w14:paraId="718549A7"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Proporcionar subtítulos</w:t>
            </w:r>
          </w:p>
        </w:tc>
        <w:tc>
          <w:tcPr>
            <w:tcW w:w="1665" w:type="dxa"/>
            <w:shd w:val="clear" w:color="auto" w:fill="auto"/>
            <w:tcMar>
              <w:top w:w="100" w:type="dxa"/>
              <w:left w:w="100" w:type="dxa"/>
              <w:bottom w:w="100" w:type="dxa"/>
              <w:right w:w="100" w:type="dxa"/>
            </w:tcMar>
          </w:tcPr>
          <w:p w14:paraId="2167801C"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GDPR y la protección de datos personales</w:t>
            </w:r>
          </w:p>
        </w:tc>
      </w:tr>
      <w:tr w:rsidR="00AA78F5" w14:paraId="73E3EEC2" w14:textId="77777777" w:rsidTr="006F7178">
        <w:tc>
          <w:tcPr>
            <w:tcW w:w="1320" w:type="dxa"/>
            <w:shd w:val="clear" w:color="auto" w:fill="auto"/>
            <w:tcMar>
              <w:top w:w="100" w:type="dxa"/>
              <w:left w:w="100" w:type="dxa"/>
              <w:bottom w:w="100" w:type="dxa"/>
              <w:right w:w="100" w:type="dxa"/>
            </w:tcMar>
          </w:tcPr>
          <w:p w14:paraId="179CD0E0"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GNSO</w:t>
            </w:r>
          </w:p>
        </w:tc>
        <w:tc>
          <w:tcPr>
            <w:tcW w:w="1335" w:type="dxa"/>
            <w:shd w:val="clear" w:color="auto" w:fill="auto"/>
            <w:tcMar>
              <w:top w:w="100" w:type="dxa"/>
              <w:left w:w="100" w:type="dxa"/>
              <w:bottom w:w="100" w:type="dxa"/>
              <w:right w:w="100" w:type="dxa"/>
            </w:tcMar>
          </w:tcPr>
          <w:p w14:paraId="7605D2E6"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32</w:t>
            </w:r>
          </w:p>
        </w:tc>
        <w:tc>
          <w:tcPr>
            <w:tcW w:w="1230" w:type="dxa"/>
            <w:shd w:val="clear" w:color="auto" w:fill="auto"/>
            <w:tcMar>
              <w:top w:w="100" w:type="dxa"/>
              <w:left w:w="100" w:type="dxa"/>
              <w:bottom w:w="100" w:type="dxa"/>
              <w:right w:w="100" w:type="dxa"/>
            </w:tcMar>
          </w:tcPr>
          <w:p w14:paraId="5878C43A"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11</w:t>
            </w:r>
          </w:p>
        </w:tc>
        <w:tc>
          <w:tcPr>
            <w:tcW w:w="1665" w:type="dxa"/>
            <w:shd w:val="clear" w:color="auto" w:fill="auto"/>
            <w:tcMar>
              <w:top w:w="100" w:type="dxa"/>
              <w:left w:w="100" w:type="dxa"/>
              <w:bottom w:w="100" w:type="dxa"/>
              <w:right w:w="100" w:type="dxa"/>
            </w:tcMar>
          </w:tcPr>
          <w:p w14:paraId="2C0CDCE2"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w:t>
            </w:r>
          </w:p>
        </w:tc>
        <w:tc>
          <w:tcPr>
            <w:tcW w:w="1200" w:type="dxa"/>
            <w:shd w:val="clear" w:color="auto" w:fill="auto"/>
            <w:tcMar>
              <w:top w:w="100" w:type="dxa"/>
              <w:left w:w="100" w:type="dxa"/>
              <w:bottom w:w="100" w:type="dxa"/>
              <w:right w:w="100" w:type="dxa"/>
            </w:tcMar>
          </w:tcPr>
          <w:p w14:paraId="04828E97"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w:t>
            </w:r>
          </w:p>
        </w:tc>
        <w:tc>
          <w:tcPr>
            <w:tcW w:w="1635" w:type="dxa"/>
            <w:shd w:val="clear" w:color="auto" w:fill="auto"/>
            <w:tcMar>
              <w:top w:w="100" w:type="dxa"/>
              <w:left w:w="100" w:type="dxa"/>
              <w:bottom w:w="100" w:type="dxa"/>
              <w:right w:w="100" w:type="dxa"/>
            </w:tcMar>
          </w:tcPr>
          <w:p w14:paraId="1FA4EB15"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highlight w:val="white"/>
              </w:rPr>
              <w:t>Introducción muy buena y clara sobre el rol de la GNSO, el proceso de PDP y la interacción con otras partes interesadas de la ICANN y el GAC.</w:t>
            </w:r>
          </w:p>
        </w:tc>
        <w:tc>
          <w:tcPr>
            <w:tcW w:w="1635" w:type="dxa"/>
            <w:shd w:val="clear" w:color="auto" w:fill="auto"/>
            <w:tcMar>
              <w:top w:w="100" w:type="dxa"/>
              <w:left w:w="100" w:type="dxa"/>
              <w:bottom w:w="100" w:type="dxa"/>
              <w:right w:w="100" w:type="dxa"/>
            </w:tcMar>
          </w:tcPr>
          <w:p w14:paraId="14DB4F43"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Enviar presentaciones y otro material con antelación al seminario web</w:t>
            </w:r>
          </w:p>
        </w:tc>
        <w:tc>
          <w:tcPr>
            <w:tcW w:w="1665" w:type="dxa"/>
            <w:shd w:val="clear" w:color="auto" w:fill="auto"/>
            <w:tcMar>
              <w:top w:w="100" w:type="dxa"/>
              <w:left w:w="100" w:type="dxa"/>
              <w:bottom w:w="100" w:type="dxa"/>
              <w:right w:w="100" w:type="dxa"/>
            </w:tcMar>
          </w:tcPr>
          <w:p w14:paraId="3C7C6D85"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 Proceso de los Estatutos a fin de comprender mejor el modelo de la ICANN</w:t>
            </w:r>
          </w:p>
          <w:p w14:paraId="0C82594B"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 xml:space="preserve">- Mecanismo de apelación hacia la Junta de la ICANN </w:t>
            </w:r>
          </w:p>
          <w:p w14:paraId="7FA83AC7"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p>
        </w:tc>
      </w:tr>
      <w:tr w:rsidR="00AA78F5" w14:paraId="077B287D" w14:textId="77777777" w:rsidTr="006F7178">
        <w:tc>
          <w:tcPr>
            <w:tcW w:w="1320" w:type="dxa"/>
            <w:shd w:val="clear" w:color="auto" w:fill="auto"/>
            <w:tcMar>
              <w:top w:w="100" w:type="dxa"/>
              <w:left w:w="100" w:type="dxa"/>
              <w:bottom w:w="100" w:type="dxa"/>
              <w:right w:w="100" w:type="dxa"/>
            </w:tcMar>
          </w:tcPr>
          <w:p w14:paraId="0A4B7C18"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b/>
                <w:sz w:val="20"/>
                <w:szCs w:val="20"/>
              </w:rPr>
            </w:pPr>
            <w:r>
              <w:rPr>
                <w:rFonts w:ascii="Century Gothic" w:hAnsi="Century Gothic"/>
                <w:b/>
                <w:sz w:val="20"/>
                <w:szCs w:val="20"/>
              </w:rPr>
              <w:t>Funcionario de Reclamos de la ICANN</w:t>
            </w:r>
          </w:p>
        </w:tc>
        <w:tc>
          <w:tcPr>
            <w:tcW w:w="1335" w:type="dxa"/>
            <w:shd w:val="clear" w:color="auto" w:fill="auto"/>
            <w:tcMar>
              <w:top w:w="100" w:type="dxa"/>
              <w:left w:w="100" w:type="dxa"/>
              <w:bottom w:w="100" w:type="dxa"/>
              <w:right w:w="100" w:type="dxa"/>
            </w:tcMar>
          </w:tcPr>
          <w:p w14:paraId="0CE462B0"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18</w:t>
            </w:r>
          </w:p>
        </w:tc>
        <w:tc>
          <w:tcPr>
            <w:tcW w:w="1230" w:type="dxa"/>
            <w:shd w:val="clear" w:color="auto" w:fill="auto"/>
            <w:tcMar>
              <w:top w:w="100" w:type="dxa"/>
              <w:left w:w="100" w:type="dxa"/>
              <w:bottom w:w="100" w:type="dxa"/>
              <w:right w:w="100" w:type="dxa"/>
            </w:tcMar>
          </w:tcPr>
          <w:p w14:paraId="30AAB5BB"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9</w:t>
            </w:r>
          </w:p>
        </w:tc>
        <w:tc>
          <w:tcPr>
            <w:tcW w:w="1665" w:type="dxa"/>
            <w:shd w:val="clear" w:color="auto" w:fill="auto"/>
            <w:tcMar>
              <w:top w:w="100" w:type="dxa"/>
              <w:left w:w="100" w:type="dxa"/>
              <w:bottom w:w="100" w:type="dxa"/>
              <w:right w:w="100" w:type="dxa"/>
            </w:tcMar>
          </w:tcPr>
          <w:p w14:paraId="200A9ED4"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1</w:t>
            </w:r>
          </w:p>
        </w:tc>
        <w:tc>
          <w:tcPr>
            <w:tcW w:w="1200" w:type="dxa"/>
            <w:shd w:val="clear" w:color="auto" w:fill="auto"/>
            <w:tcMar>
              <w:top w:w="100" w:type="dxa"/>
              <w:left w:w="100" w:type="dxa"/>
              <w:bottom w:w="100" w:type="dxa"/>
              <w:right w:w="100" w:type="dxa"/>
            </w:tcMar>
          </w:tcPr>
          <w:p w14:paraId="527BE0F7"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3</w:t>
            </w:r>
          </w:p>
        </w:tc>
        <w:tc>
          <w:tcPr>
            <w:tcW w:w="1635" w:type="dxa"/>
            <w:shd w:val="clear" w:color="auto" w:fill="auto"/>
            <w:tcMar>
              <w:top w:w="100" w:type="dxa"/>
              <w:left w:w="100" w:type="dxa"/>
              <w:bottom w:w="100" w:type="dxa"/>
              <w:right w:w="100" w:type="dxa"/>
            </w:tcMar>
          </w:tcPr>
          <w:p w14:paraId="7572352D"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t xml:space="preserve">Información </w:t>
            </w:r>
            <w:r>
              <w:rPr>
                <w:rFonts w:ascii="Century Gothic" w:hAnsi="Century Gothic"/>
                <w:sz w:val="20"/>
                <w:szCs w:val="20"/>
                <w:highlight w:val="white"/>
              </w:rPr>
              <w:t xml:space="preserve">muy interesante sobre cómo mitigar los reclamos, las </w:t>
            </w:r>
            <w:r>
              <w:rPr>
                <w:rFonts w:ascii="Century Gothic" w:hAnsi="Century Gothic"/>
                <w:sz w:val="20"/>
                <w:szCs w:val="20"/>
                <w:highlight w:val="white"/>
              </w:rPr>
              <w:lastRenderedPageBreak/>
              <w:t>funciones del Funcionario de Reclamos de la ICANN y el umbral entre este departamento y otros tales como Cumplimiento y el Defensor del Pueblo.</w:t>
            </w:r>
          </w:p>
        </w:tc>
        <w:tc>
          <w:tcPr>
            <w:tcW w:w="1635" w:type="dxa"/>
            <w:shd w:val="clear" w:color="auto" w:fill="auto"/>
            <w:tcMar>
              <w:top w:w="100" w:type="dxa"/>
              <w:left w:w="100" w:type="dxa"/>
              <w:bottom w:w="100" w:type="dxa"/>
              <w:right w:w="100" w:type="dxa"/>
            </w:tcMar>
          </w:tcPr>
          <w:p w14:paraId="396EEA32"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Century Gothic" w:hAnsi="Century Gothic"/>
                <w:sz w:val="20"/>
                <w:szCs w:val="20"/>
              </w:rPr>
              <w:lastRenderedPageBreak/>
              <w:t>Ejemplos más detallados/estudios de caso donde sea posible</w:t>
            </w:r>
          </w:p>
        </w:tc>
        <w:tc>
          <w:tcPr>
            <w:tcW w:w="1665" w:type="dxa"/>
            <w:shd w:val="clear" w:color="auto" w:fill="auto"/>
            <w:tcMar>
              <w:top w:w="100" w:type="dxa"/>
              <w:left w:w="100" w:type="dxa"/>
              <w:bottom w:w="100" w:type="dxa"/>
              <w:right w:w="100" w:type="dxa"/>
            </w:tcMar>
          </w:tcPr>
          <w:p w14:paraId="6F1B5AE6" w14:textId="77777777" w:rsidR="00AA78F5" w:rsidRDefault="00AA78F5" w:rsidP="00F755F2">
            <w:pPr>
              <w:widowControl w:val="0"/>
              <w:pBdr>
                <w:top w:val="nil"/>
                <w:left w:val="nil"/>
                <w:bottom w:val="nil"/>
                <w:right w:val="nil"/>
                <w:between w:val="nil"/>
              </w:pBdr>
              <w:rPr>
                <w:rFonts w:ascii="Century Gothic" w:eastAsia="Century Gothic" w:hAnsi="Century Gothic" w:cs="Century Gothic"/>
                <w:sz w:val="20"/>
                <w:szCs w:val="20"/>
              </w:rPr>
            </w:pPr>
            <w:r>
              <w:rPr>
                <w:rFonts w:ascii="Arial" w:hAnsi="Arial"/>
                <w:sz w:val="20"/>
                <w:szCs w:val="20"/>
                <w:highlight w:val="white"/>
              </w:rPr>
              <w:t>-</w:t>
            </w:r>
            <w:r>
              <w:rPr>
                <w:sz w:val="20"/>
                <w:szCs w:val="20"/>
                <w:highlight w:val="white"/>
              </w:rPr>
              <w:t xml:space="preserve"> </w:t>
            </w:r>
            <w:r>
              <w:rPr>
                <w:rFonts w:ascii="Century Gothic" w:hAnsi="Century Gothic"/>
                <w:sz w:val="20"/>
                <w:szCs w:val="20"/>
                <w:highlight w:val="white"/>
              </w:rPr>
              <w:t>Cumplimiento Contractual</w:t>
            </w:r>
            <w:r>
              <w:rPr>
                <w:rFonts w:ascii="Century Gothic" w:hAnsi="Century Gothic"/>
                <w:sz w:val="20"/>
                <w:szCs w:val="20"/>
                <w:highlight w:val="white"/>
              </w:rPr>
              <w:br/>
              <w:t xml:space="preserve">- El rol de la Junta de la ICANN y la </w:t>
            </w:r>
            <w:r>
              <w:rPr>
                <w:rFonts w:ascii="Century Gothic" w:hAnsi="Century Gothic"/>
                <w:sz w:val="20"/>
                <w:szCs w:val="20"/>
                <w:highlight w:val="white"/>
              </w:rPr>
              <w:lastRenderedPageBreak/>
              <w:t>limitación en relación con el desarrollo de políticas y la toma de decisiones</w:t>
            </w:r>
            <w:r>
              <w:rPr>
                <w:rFonts w:ascii="Century Gothic" w:hAnsi="Century Gothic"/>
                <w:sz w:val="20"/>
                <w:szCs w:val="20"/>
                <w:highlight w:val="white"/>
              </w:rPr>
              <w:br/>
              <w:t>- Asociaciones de la ICANN respecto de la mitigación del uso indebido del DNS</w:t>
            </w:r>
            <w:r>
              <w:rPr>
                <w:rFonts w:ascii="Century Gothic" w:hAnsi="Century Gothic"/>
                <w:sz w:val="20"/>
                <w:szCs w:val="20"/>
                <w:highlight w:val="white"/>
              </w:rPr>
              <w:br/>
              <w:t>- WHOIS de la ICANN</w:t>
            </w:r>
          </w:p>
        </w:tc>
      </w:tr>
    </w:tbl>
    <w:p w14:paraId="1ACCEB80" w14:textId="77777777" w:rsidR="00AA78F5" w:rsidRDefault="00AA78F5" w:rsidP="00AA78F5">
      <w:pPr>
        <w:pBdr>
          <w:top w:val="nil"/>
          <w:left w:val="nil"/>
          <w:bottom w:val="nil"/>
          <w:right w:val="nil"/>
          <w:between w:val="nil"/>
        </w:pBdr>
        <w:spacing w:after="200" w:line="276" w:lineRule="auto"/>
        <w:jc w:val="both"/>
        <w:rPr>
          <w:rFonts w:ascii="Century Gothic" w:eastAsia="Century Gothic" w:hAnsi="Century Gothic" w:cs="Century Gothic"/>
          <w:sz w:val="20"/>
          <w:szCs w:val="20"/>
        </w:rPr>
      </w:pPr>
    </w:p>
    <w:p w14:paraId="427347CB" w14:textId="77777777" w:rsidR="00AA78F5" w:rsidRDefault="00AA78F5" w:rsidP="00AA78F5">
      <w:pPr>
        <w:pBdr>
          <w:top w:val="nil"/>
          <w:left w:val="nil"/>
          <w:bottom w:val="nil"/>
          <w:right w:val="nil"/>
          <w:between w:val="nil"/>
        </w:pBdr>
        <w:spacing w:after="200" w:line="276" w:lineRule="auto"/>
        <w:jc w:val="both"/>
        <w:rPr>
          <w:rFonts w:ascii="Century Gothic" w:eastAsia="Century Gothic" w:hAnsi="Century Gothic" w:cs="Century Gothic"/>
          <w:sz w:val="22"/>
          <w:szCs w:val="22"/>
        </w:rPr>
      </w:pPr>
    </w:p>
    <w:p w14:paraId="5B961CB9" w14:textId="77777777" w:rsidR="00AA78F5" w:rsidRDefault="00AA78F5" w:rsidP="00AA78F5">
      <w:pPr>
        <w:pBdr>
          <w:top w:val="nil"/>
          <w:left w:val="nil"/>
          <w:bottom w:val="nil"/>
          <w:right w:val="nil"/>
          <w:between w:val="nil"/>
        </w:pBdr>
        <w:spacing w:after="200" w:line="276" w:lineRule="auto"/>
        <w:jc w:val="both"/>
        <w:rPr>
          <w:rFonts w:ascii="Century Gothic" w:eastAsia="Century Gothic" w:hAnsi="Century Gothic" w:cs="Century Gothic"/>
          <w:sz w:val="22"/>
          <w:szCs w:val="22"/>
        </w:rPr>
      </w:pPr>
    </w:p>
    <w:p w14:paraId="28D8C737" w14:textId="77777777" w:rsidR="00AA78F5" w:rsidRPr="00AA78F5" w:rsidRDefault="00AA78F5" w:rsidP="00AA78F5">
      <w:pPr>
        <w:pBdr>
          <w:top w:val="nil"/>
          <w:left w:val="nil"/>
          <w:bottom w:val="nil"/>
          <w:right w:val="nil"/>
          <w:between w:val="nil"/>
        </w:pBdr>
        <w:spacing w:after="200" w:line="276" w:lineRule="auto"/>
        <w:rPr>
          <w:rFonts w:ascii="Century Gothic" w:eastAsia="Century Gothic" w:hAnsi="Century Gothic" w:cs="Century Gothic"/>
          <w:b/>
          <w:sz w:val="22"/>
          <w:szCs w:val="22"/>
        </w:rPr>
      </w:pPr>
      <w:r>
        <w:rPr>
          <w:rFonts w:ascii="Century Gothic" w:hAnsi="Century Gothic"/>
          <w:b/>
          <w:sz w:val="22"/>
          <w:szCs w:val="22"/>
        </w:rPr>
        <w:t xml:space="preserve">3 - Plataforma ICANN </w:t>
      </w:r>
      <w:proofErr w:type="spellStart"/>
      <w:r>
        <w:rPr>
          <w:rFonts w:ascii="Century Gothic" w:hAnsi="Century Gothic"/>
          <w:b/>
          <w:sz w:val="22"/>
          <w:szCs w:val="22"/>
        </w:rPr>
        <w:t>Learn</w:t>
      </w:r>
      <w:proofErr w:type="spellEnd"/>
      <w:r>
        <w:rPr>
          <w:rFonts w:ascii="Century Gothic" w:hAnsi="Century Gothic"/>
          <w:b/>
          <w:sz w:val="22"/>
          <w:szCs w:val="22"/>
        </w:rPr>
        <w:t xml:space="preserve">. </w:t>
      </w:r>
    </w:p>
    <w:p w14:paraId="1F5F52F0"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b/>
          <w:sz w:val="20"/>
          <w:szCs w:val="20"/>
        </w:rPr>
      </w:pPr>
      <w:r>
        <w:rPr>
          <w:rFonts w:ascii="Century Gothic" w:hAnsi="Century Gothic"/>
          <w:sz w:val="22"/>
          <w:szCs w:val="22"/>
        </w:rPr>
        <w:t xml:space="preserve">La Plataforma ICANN </w:t>
      </w:r>
      <w:proofErr w:type="spellStart"/>
      <w:r>
        <w:rPr>
          <w:rFonts w:ascii="Century Gothic" w:hAnsi="Century Gothic"/>
          <w:sz w:val="22"/>
          <w:szCs w:val="22"/>
        </w:rPr>
        <w:t>Learn</w:t>
      </w:r>
      <w:proofErr w:type="spellEnd"/>
      <w:r>
        <w:rPr>
          <w:rFonts w:ascii="Century Gothic" w:hAnsi="Century Gothic"/>
          <w:sz w:val="22"/>
          <w:szCs w:val="22"/>
        </w:rPr>
        <w:t xml:space="preserve"> ha sido eficazmente utilizada por diversos grupos de la comunidad de la ICANN y es una plataforma útil para contenido de incorporación que implica todos los aspectos de la comunidad de la ICANN.  A medida que el GAC haya aprendido más sobre esta herramienta y los recursos se hayan vuelto disponibles, todas las series de seminarios web, información sobre el taller de creación de capacidades y cursos introductorios sobre el GAC y su trabajo estarán centralizados en la plataforma ICANN </w:t>
      </w:r>
      <w:proofErr w:type="spellStart"/>
      <w:r>
        <w:rPr>
          <w:rFonts w:ascii="Century Gothic" w:hAnsi="Century Gothic"/>
          <w:sz w:val="22"/>
          <w:szCs w:val="22"/>
        </w:rPr>
        <w:t>Learn</w:t>
      </w:r>
      <w:proofErr w:type="spellEnd"/>
      <w:r>
        <w:rPr>
          <w:rFonts w:ascii="Century Gothic" w:hAnsi="Century Gothic"/>
          <w:sz w:val="22"/>
          <w:szCs w:val="22"/>
        </w:rPr>
        <w:t>. La información suministrada no solo estará disponible para el GAC sino también para la comunidad de la ICANN a fin de ayudar a explicar los esfuerzos del GAC al resto de la comunidad.</w:t>
      </w:r>
    </w:p>
    <w:p w14:paraId="26FD7F61" w14:textId="77777777" w:rsidR="00AA78F5" w:rsidRPr="00BF4B9D" w:rsidRDefault="00AA78F5" w:rsidP="00AA78F5">
      <w:pPr>
        <w:pStyle w:val="Ttulo3"/>
        <w:jc w:val="both"/>
        <w:rPr>
          <w:color w:val="0070C0"/>
          <w:sz w:val="22"/>
        </w:rPr>
      </w:pPr>
      <w:bookmarkStart w:id="1" w:name="_3cn0e2769io1"/>
      <w:bookmarkEnd w:id="1"/>
      <w:r>
        <w:rPr>
          <w:color w:val="0070C0"/>
          <w:sz w:val="22"/>
        </w:rPr>
        <w:t xml:space="preserve">Apoyo financiero para viajes del GAC </w:t>
      </w:r>
    </w:p>
    <w:p w14:paraId="660C7CEF"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 xml:space="preserve">El apoyo financiero para viajes a las reuniones públicas de la ICANN es un importante recurso para ayudar a ampliar la participación en los esfuerzos de las labores del GAC y compartir eficazmente conocimientos sobre las cuestiones importantes para los miembros del GAC.  </w:t>
      </w:r>
    </w:p>
    <w:p w14:paraId="0821CEB8"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Cuarenta (40) vacantes para apoyo financiero para viajes han sido garantizadas para que miembros del GAC asistan a las reuniones públicas de la ICANN en el próximo año fiscal de la ICANN (FY19).  Cada vacante para apoyo financiero para viajes consta de gastos diarios, pasajes aéreos y alojamiento por la duración de la reunión (arribo un día antes y partida un día después de las fechas oficiales de la reunión).</w:t>
      </w:r>
    </w:p>
    <w:p w14:paraId="14041FEB"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2"/>
          <w:szCs w:val="22"/>
        </w:rPr>
      </w:pPr>
      <w:r>
        <w:rPr>
          <w:rFonts w:ascii="Century Gothic" w:hAnsi="Century Gothic"/>
          <w:sz w:val="22"/>
          <w:szCs w:val="22"/>
        </w:rPr>
        <w:t>En Panamá, el personal de Apoyo del GAC compartirá los avances en el proceso para indicar interés y presentar una solicitud para apoyo financiero para viajes a las reuniones públicas de la ICANN.  Asimismo, el personal explicará los recursos que se ponen a disposición para brindar apoyo a viajeros de alto rango adicionales para la próxima reunión gubernamental de alto nivel en ICANN 63 en Barcelona.</w:t>
      </w:r>
    </w:p>
    <w:p w14:paraId="7D494140" w14:textId="77777777" w:rsidR="00AA78F5" w:rsidRDefault="00AA78F5" w:rsidP="00AA78F5">
      <w:pPr>
        <w:pBdr>
          <w:top w:val="nil"/>
          <w:left w:val="nil"/>
          <w:bottom w:val="nil"/>
          <w:right w:val="nil"/>
          <w:between w:val="nil"/>
        </w:pBdr>
        <w:spacing w:after="200" w:line="276" w:lineRule="auto"/>
        <w:rPr>
          <w:rFonts w:ascii="Century Gothic" w:eastAsia="Century Gothic" w:hAnsi="Century Gothic" w:cs="Century Gothic"/>
          <w:sz w:val="20"/>
          <w:szCs w:val="20"/>
        </w:rPr>
      </w:pPr>
      <w:r>
        <w:rPr>
          <w:rFonts w:ascii="Century Gothic" w:hAnsi="Century Gothic"/>
          <w:sz w:val="22"/>
          <w:szCs w:val="22"/>
        </w:rPr>
        <w:lastRenderedPageBreak/>
        <w:t xml:space="preserve">El personal también explicará la nueva iniciativa de la ICANN para volver a examinar las pautas de apoyo financiero para viajes de la comunidad de la ICANN (véase </w:t>
      </w:r>
      <w:hyperlink r:id="rId14">
        <w:r>
          <w:rPr>
            <w:rFonts w:ascii="Century Gothic" w:hAnsi="Century Gothic"/>
            <w:color w:val="1155CC"/>
            <w:sz w:val="22"/>
            <w:szCs w:val="22"/>
            <w:u w:val="single"/>
          </w:rPr>
          <w:t>https://www.icann.org/public-comments/travel-support-guidelines-2018-05-30-en</w:t>
        </w:r>
      </w:hyperlink>
      <w:r>
        <w:rPr>
          <w:rFonts w:ascii="Century Gothic" w:hAnsi="Century Gothic"/>
          <w:sz w:val="22"/>
          <w:szCs w:val="22"/>
        </w:rPr>
        <w:t>,)</w:t>
      </w:r>
    </w:p>
    <w:p w14:paraId="56BCDF81" w14:textId="3E179116" w:rsidR="00E615C7" w:rsidRDefault="00E615C7" w:rsidP="009E2D17">
      <w:pPr>
        <w:pStyle w:val="Textoindependiente"/>
      </w:pPr>
    </w:p>
    <w:p w14:paraId="2C2EC539" w14:textId="3E9F6D5E" w:rsidR="00E615C7" w:rsidRDefault="00E615C7" w:rsidP="00920FBF">
      <w:pPr>
        <w:pStyle w:val="Textoindependiente"/>
      </w:pPr>
    </w:p>
    <w:p w14:paraId="18C8D1B4" w14:textId="77777777" w:rsidR="003D4677" w:rsidRDefault="003D4677" w:rsidP="00920FBF">
      <w:pPr>
        <w:pStyle w:val="Textoindependiente"/>
      </w:pPr>
    </w:p>
    <w:p w14:paraId="30BFE102" w14:textId="58FE14E6" w:rsidR="00416093" w:rsidRDefault="00F21D6A" w:rsidP="00EE2665">
      <w:pPr>
        <w:pStyle w:val="Ttulo2"/>
      </w:pPr>
      <w:bookmarkStart w:id="2" w:name="_Hlk484433727"/>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010398" w:rsidRPr="003F43E3" w14:paraId="02A4B1CF" w14:textId="77777777" w:rsidTr="00D27E64">
        <w:tc>
          <w:tcPr>
            <w:tcW w:w="3261" w:type="dxa"/>
            <w:vAlign w:val="center"/>
          </w:tcPr>
          <w:p w14:paraId="4950A8FE" w14:textId="77777777" w:rsidR="00010398" w:rsidRPr="003F43E3" w:rsidRDefault="00010398" w:rsidP="00D27E64">
            <w:pPr>
              <w:ind w:right="-132"/>
              <w:rPr>
                <w:rFonts w:ascii="Century Gothic" w:eastAsiaTheme="minorEastAsia" w:hAnsi="Century Gothic" w:cstheme="minorBidi"/>
                <w:b/>
                <w:sz w:val="20"/>
                <w:szCs w:val="20"/>
              </w:rPr>
            </w:pPr>
            <w:r>
              <w:rPr>
                <w:rFonts w:ascii="Century Gothic" w:hAnsi="Century Gothic"/>
                <w:b/>
                <w:sz w:val="20"/>
                <w:szCs w:val="20"/>
              </w:rPr>
              <w:t>Título</w:t>
            </w:r>
          </w:p>
        </w:tc>
        <w:tc>
          <w:tcPr>
            <w:tcW w:w="5811" w:type="dxa"/>
            <w:vAlign w:val="center"/>
          </w:tcPr>
          <w:p w14:paraId="3670060B" w14:textId="31D10CB4" w:rsidR="00010398" w:rsidRPr="00EA3A02" w:rsidRDefault="009E2D17" w:rsidP="00FC2E8B">
            <w:pPr>
              <w:ind w:right="545"/>
              <w:rPr>
                <w:rFonts w:ascii="Century Gothic" w:eastAsiaTheme="minorEastAsia" w:hAnsi="Century Gothic" w:cstheme="minorBidi"/>
                <w:sz w:val="20"/>
                <w:szCs w:val="20"/>
              </w:rPr>
            </w:pPr>
            <w:r>
              <w:rPr>
                <w:rFonts w:ascii="Century Gothic" w:hAnsi="Century Gothic"/>
                <w:sz w:val="20"/>
                <w:szCs w:val="20"/>
              </w:rPr>
              <w:t>Incorporación y apoyo financiero para viajes del GAC</w:t>
            </w:r>
          </w:p>
        </w:tc>
      </w:tr>
      <w:tr w:rsidR="00010398" w:rsidRPr="003F43E3" w14:paraId="0641DFB7" w14:textId="77777777" w:rsidTr="00D27E64">
        <w:tc>
          <w:tcPr>
            <w:tcW w:w="3261" w:type="dxa"/>
            <w:vAlign w:val="center"/>
          </w:tcPr>
          <w:p w14:paraId="23363542" w14:textId="77777777" w:rsidR="00010398" w:rsidRPr="003F43E3" w:rsidRDefault="00010398" w:rsidP="00D27E64">
            <w:pPr>
              <w:ind w:right="-132"/>
              <w:rPr>
                <w:rFonts w:ascii="Century Gothic" w:eastAsiaTheme="minorEastAsia" w:hAnsi="Century Gothic" w:cstheme="minorBidi"/>
                <w:b/>
                <w:sz w:val="20"/>
                <w:szCs w:val="20"/>
              </w:rPr>
            </w:pPr>
            <w:r>
              <w:rPr>
                <w:rFonts w:ascii="Century Gothic" w:hAnsi="Century Gothic"/>
                <w:b/>
                <w:sz w:val="20"/>
                <w:szCs w:val="20"/>
              </w:rPr>
              <w:t>Distribución</w:t>
            </w:r>
          </w:p>
        </w:tc>
        <w:tc>
          <w:tcPr>
            <w:tcW w:w="5811" w:type="dxa"/>
            <w:vAlign w:val="center"/>
          </w:tcPr>
          <w:p w14:paraId="71A5F200" w14:textId="77777777" w:rsidR="00010398" w:rsidRPr="003F43E3" w:rsidRDefault="00010398" w:rsidP="00D27E64">
            <w:pPr>
              <w:ind w:right="545"/>
              <w:rPr>
                <w:rFonts w:ascii="Century Gothic" w:eastAsiaTheme="minorEastAsia" w:hAnsi="Century Gothic" w:cstheme="minorBidi"/>
                <w:sz w:val="20"/>
                <w:szCs w:val="20"/>
              </w:rPr>
            </w:pPr>
            <w:r>
              <w:rPr>
                <w:rFonts w:ascii="Century Gothic" w:hAnsi="Century Gothic"/>
                <w:sz w:val="20"/>
                <w:szCs w:val="20"/>
              </w:rPr>
              <w:t>Miembros del GAC</w:t>
            </w:r>
          </w:p>
        </w:tc>
      </w:tr>
      <w:tr w:rsidR="00010398" w:rsidRPr="003F43E3" w14:paraId="0DD5FC1F" w14:textId="77777777" w:rsidTr="00D27E64">
        <w:tc>
          <w:tcPr>
            <w:tcW w:w="3261" w:type="dxa"/>
            <w:vAlign w:val="center"/>
          </w:tcPr>
          <w:p w14:paraId="283030BF" w14:textId="77777777" w:rsidR="00010398" w:rsidRPr="003F43E3" w:rsidRDefault="00010398" w:rsidP="00D27E64">
            <w:pPr>
              <w:ind w:right="-132"/>
              <w:rPr>
                <w:rFonts w:ascii="Century Gothic" w:eastAsiaTheme="minorEastAsia" w:hAnsi="Century Gothic" w:cstheme="minorBidi"/>
                <w:b/>
                <w:sz w:val="20"/>
                <w:szCs w:val="20"/>
              </w:rPr>
            </w:pPr>
            <w:r>
              <w:rPr>
                <w:rFonts w:ascii="Century Gothic" w:hAnsi="Century Gothic"/>
                <w:b/>
                <w:sz w:val="20"/>
                <w:szCs w:val="20"/>
              </w:rPr>
              <w:t>Fecha de distribución</w:t>
            </w:r>
          </w:p>
        </w:tc>
        <w:tc>
          <w:tcPr>
            <w:tcW w:w="5811" w:type="dxa"/>
            <w:vAlign w:val="center"/>
          </w:tcPr>
          <w:p w14:paraId="5BCACAE1" w14:textId="128AABE2" w:rsidR="00010398" w:rsidRPr="003F43E3" w:rsidRDefault="00AA78F5" w:rsidP="00D27E64">
            <w:pPr>
              <w:ind w:right="545"/>
              <w:rPr>
                <w:rFonts w:ascii="Century Gothic" w:eastAsiaTheme="minorEastAsia" w:hAnsi="Century Gothic" w:cstheme="minorBidi"/>
                <w:sz w:val="20"/>
                <w:szCs w:val="20"/>
              </w:rPr>
            </w:pPr>
            <w:r>
              <w:rPr>
                <w:rFonts w:ascii="Century Gothic" w:hAnsi="Century Gothic"/>
                <w:sz w:val="20"/>
                <w:szCs w:val="20"/>
              </w:rPr>
              <w:t>14 de junio de 2018</w:t>
            </w:r>
          </w:p>
        </w:tc>
      </w:tr>
    </w:tbl>
    <w:p w14:paraId="5F2B7234" w14:textId="77777777" w:rsidR="0017576D" w:rsidRPr="00CF56FA" w:rsidRDefault="0017576D" w:rsidP="00E64914">
      <w:pPr>
        <w:pStyle w:val="Textoindependiente"/>
        <w:ind w:right="545"/>
        <w:rPr>
          <w:color w:val="000000"/>
          <w:szCs w:val="20"/>
        </w:rPr>
      </w:pPr>
      <w:bookmarkStart w:id="3" w:name="_GoBack"/>
      <w:bookmarkEnd w:id="2"/>
      <w:bookmarkEnd w:id="3"/>
    </w:p>
    <w:sectPr w:rsidR="0017576D" w:rsidRPr="00CF56FA" w:rsidSect="007A174E">
      <w:headerReference w:type="default" r:id="rId15"/>
      <w:footerReference w:type="default" r:id="rId16"/>
      <w:headerReference w:type="first" r:id="rId17"/>
      <w:footerReference w:type="first" r:id="rId18"/>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7A3A1" w14:textId="77777777" w:rsidR="008F787F" w:rsidRDefault="008F787F" w:rsidP="00A24449">
      <w:r>
        <w:separator/>
      </w:r>
    </w:p>
  </w:endnote>
  <w:endnote w:type="continuationSeparator" w:id="0">
    <w:p w14:paraId="10342495" w14:textId="77777777" w:rsidR="008F787F" w:rsidRDefault="008F787F"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BFA9" w14:textId="77777777" w:rsidR="00414BB7" w:rsidRDefault="00414BB7" w:rsidP="002276FD">
    <w:pPr>
      <w:pStyle w:val="Piedepgina"/>
      <w:ind w:left="-567" w:right="261"/>
    </w:pPr>
  </w:p>
  <w:p w14:paraId="1F6A8333" w14:textId="07D6AD7B" w:rsidR="00414BB7" w:rsidRPr="00B026C8" w:rsidRDefault="00D161F9" w:rsidP="002276FD">
    <w:pPr>
      <w:pBdr>
        <w:top w:val="single" w:sz="18" w:space="1" w:color="1F497D"/>
      </w:pBdr>
      <w:spacing w:before="240"/>
      <w:ind w:right="261"/>
      <w:rPr>
        <w:rFonts w:ascii="Century Gothic" w:hAnsi="Century Gothic"/>
        <w:color w:val="00408E"/>
      </w:rPr>
    </w:pP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t xml:space="preserve">      </w:t>
    </w:r>
    <w:r>
      <w:rPr>
        <w:rFonts w:ascii="Century Gothic" w:hAnsi="Century Gothic"/>
        <w:color w:val="00408E"/>
        <w:sz w:val="16"/>
        <w:szCs w:val="16"/>
      </w:rPr>
      <w:tab/>
      <w:t xml:space="preserve">                </w:t>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t xml:space="preserve">                 </w:t>
    </w:r>
    <w:r>
      <w:rPr>
        <w:rFonts w:ascii="Century Gothic" w:hAnsi="Century Gothic"/>
        <w:color w:val="00408E"/>
        <w:sz w:val="16"/>
        <w:szCs w:val="16"/>
      </w:rPr>
      <w:tab/>
      <w:t xml:space="preserve"> Página </w:t>
    </w:r>
    <w:r w:rsidR="00414BB7" w:rsidRPr="00B026C8">
      <w:rPr>
        <w:rFonts w:ascii="Century Gothic" w:hAnsi="Century Gothic"/>
        <w:color w:val="00408E"/>
        <w:sz w:val="16"/>
        <w:szCs w:val="16"/>
      </w:rPr>
      <w:fldChar w:fldCharType="begin"/>
    </w:r>
    <w:r w:rsidR="00414BB7" w:rsidRPr="00B026C8">
      <w:rPr>
        <w:rFonts w:ascii="Century Gothic" w:hAnsi="Century Gothic"/>
        <w:color w:val="00408E"/>
        <w:sz w:val="16"/>
        <w:szCs w:val="16"/>
      </w:rPr>
      <w:instrText xml:space="preserve"> PAGE </w:instrText>
    </w:r>
    <w:r w:rsidR="00414BB7" w:rsidRPr="00B026C8">
      <w:rPr>
        <w:rFonts w:ascii="Century Gothic" w:hAnsi="Century Gothic"/>
        <w:color w:val="00408E"/>
        <w:sz w:val="16"/>
        <w:szCs w:val="16"/>
      </w:rPr>
      <w:fldChar w:fldCharType="separate"/>
    </w:r>
    <w:r w:rsidR="006F7178">
      <w:rPr>
        <w:rFonts w:ascii="Century Gothic" w:hAnsi="Century Gothic"/>
        <w:noProof/>
        <w:color w:val="00408E"/>
        <w:sz w:val="16"/>
        <w:szCs w:val="16"/>
      </w:rPr>
      <w:t>1</w:t>
    </w:r>
    <w:r w:rsidR="00414BB7" w:rsidRPr="00B026C8">
      <w:rPr>
        <w:rFonts w:ascii="Century Gothic" w:hAnsi="Century Gothic"/>
        <w:color w:val="00408E"/>
        <w:sz w:val="16"/>
        <w:szCs w:val="16"/>
      </w:rPr>
      <w:fldChar w:fldCharType="end"/>
    </w:r>
    <w:r>
      <w:rPr>
        <w:rFonts w:ascii="Century Gothic" w:hAnsi="Century Gothic"/>
        <w:color w:val="00408E"/>
        <w:sz w:val="16"/>
        <w:szCs w:val="16"/>
      </w:rPr>
      <w:t xml:space="preserve"> de </w:t>
    </w:r>
    <w:r w:rsidR="00414BB7" w:rsidRPr="00B026C8">
      <w:rPr>
        <w:rFonts w:ascii="Century Gothic" w:hAnsi="Century Gothic"/>
        <w:color w:val="00408E"/>
        <w:sz w:val="16"/>
        <w:szCs w:val="16"/>
      </w:rPr>
      <w:fldChar w:fldCharType="begin"/>
    </w:r>
    <w:r w:rsidR="00414BB7" w:rsidRPr="00B026C8">
      <w:rPr>
        <w:rFonts w:ascii="Century Gothic" w:hAnsi="Century Gothic"/>
        <w:color w:val="00408E"/>
        <w:sz w:val="16"/>
        <w:szCs w:val="16"/>
      </w:rPr>
      <w:instrText xml:space="preserve"> NUMPAGES  </w:instrText>
    </w:r>
    <w:r w:rsidR="00414BB7" w:rsidRPr="00B026C8">
      <w:rPr>
        <w:rFonts w:ascii="Century Gothic" w:hAnsi="Century Gothic"/>
        <w:color w:val="00408E"/>
        <w:sz w:val="16"/>
        <w:szCs w:val="16"/>
      </w:rPr>
      <w:fldChar w:fldCharType="separate"/>
    </w:r>
    <w:r w:rsidR="006F7178">
      <w:rPr>
        <w:rFonts w:ascii="Century Gothic" w:hAnsi="Century Gothic"/>
        <w:noProof/>
        <w:color w:val="00408E"/>
        <w:sz w:val="16"/>
        <w:szCs w:val="16"/>
      </w:rPr>
      <w:t>4</w:t>
    </w:r>
    <w:r w:rsidR="00414BB7" w:rsidRPr="00B026C8">
      <w:rPr>
        <w:rFonts w:ascii="Century Gothic" w:hAnsi="Century Gothic"/>
        <w:color w:val="00408E"/>
        <w:sz w:val="16"/>
        <w:szCs w:val="16"/>
      </w:rPr>
      <w:fldChar w:fldCharType="end"/>
    </w:r>
  </w:p>
  <w:p w14:paraId="5437F5F8" w14:textId="77777777" w:rsidR="00414BB7" w:rsidRPr="000C0FD7" w:rsidRDefault="00414BB7" w:rsidP="003D7A8D">
    <w:pPr>
      <w:pStyle w:val="Piedepgina"/>
      <w:tabs>
        <w:tab w:val="clear" w:pos="9360"/>
        <w:tab w:val="right" w:pos="893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629D5" w14:textId="77777777" w:rsidR="00414BB7" w:rsidRPr="00C2562C" w:rsidRDefault="00414BB7" w:rsidP="00740F60">
    <w:pPr>
      <w:pBdr>
        <w:top w:val="single" w:sz="18" w:space="1" w:color="1F497D"/>
      </w:pBdr>
      <w:spacing w:before="240"/>
      <w:ind w:right="544"/>
      <w:rPr>
        <w:color w:val="00408E"/>
        <w:sz w:val="2"/>
        <w:szCs w:val="2"/>
      </w:rPr>
    </w:pPr>
  </w:p>
  <w:p w14:paraId="6CEFBB86" w14:textId="77777777" w:rsidR="00414BB7" w:rsidRPr="006F7178" w:rsidRDefault="00414BB7" w:rsidP="00740F60">
    <w:pPr>
      <w:pStyle w:val="Sinespaciado"/>
      <w:ind w:right="544"/>
      <w:jc w:val="right"/>
      <w:rPr>
        <w:sz w:val="16"/>
        <w:szCs w:val="16"/>
        <w:lang w:val="en-US"/>
      </w:rPr>
    </w:pPr>
    <w:r w:rsidRPr="006F7178">
      <w:rPr>
        <w:sz w:val="16"/>
        <w:szCs w:val="16"/>
        <w:lang w:val="en-US"/>
      </w:rPr>
      <w:t xml:space="preserve">203 Drummond Street, Carlton VIC 3053 </w:t>
    </w:r>
  </w:p>
  <w:p w14:paraId="43F9FA24" w14:textId="77777777" w:rsidR="00414BB7" w:rsidRPr="006F7178" w:rsidRDefault="00414BB7" w:rsidP="00740F60">
    <w:pPr>
      <w:pStyle w:val="Sinespaciado"/>
      <w:ind w:right="544"/>
      <w:jc w:val="right"/>
      <w:rPr>
        <w:sz w:val="16"/>
        <w:szCs w:val="16"/>
        <w:lang w:val="en-US"/>
      </w:rPr>
    </w:pPr>
    <w:r w:rsidRPr="006F7178">
      <w:rPr>
        <w:sz w:val="16"/>
        <w:szCs w:val="16"/>
        <w:lang w:val="en-US"/>
      </w:rPr>
      <w:t>03 9650 7222</w:t>
    </w:r>
  </w:p>
  <w:p w14:paraId="67FE17A9" w14:textId="77777777" w:rsidR="00414BB7" w:rsidRPr="006F7178" w:rsidRDefault="00414BB7" w:rsidP="00740F60">
    <w:pPr>
      <w:pStyle w:val="Sinespaciado"/>
      <w:ind w:right="544"/>
      <w:jc w:val="right"/>
      <w:rPr>
        <w:sz w:val="16"/>
        <w:szCs w:val="16"/>
        <w:lang w:val="en-US"/>
      </w:rPr>
    </w:pPr>
    <w:r w:rsidRPr="006F7178">
      <w:rPr>
        <w:sz w:val="16"/>
        <w:szCs w:val="16"/>
        <w:lang w:val="en-US"/>
      </w:rPr>
      <w:t xml:space="preserve">www.acig.com.au </w:t>
    </w:r>
  </w:p>
  <w:p w14:paraId="19DE8D68" w14:textId="77777777" w:rsidR="00414BB7" w:rsidRPr="006F7178" w:rsidRDefault="00414BB7" w:rsidP="003D7A8D">
    <w:pPr>
      <w:pStyle w:val="Piedepgina"/>
      <w:jc w:val="center"/>
      <w:rPr>
        <w:color w:val="00408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40C15" w14:textId="77777777" w:rsidR="008F787F" w:rsidRDefault="008F787F" w:rsidP="00A24449">
      <w:r>
        <w:separator/>
      </w:r>
    </w:p>
  </w:footnote>
  <w:footnote w:type="continuationSeparator" w:id="0">
    <w:p w14:paraId="714991D9" w14:textId="77777777" w:rsidR="008F787F" w:rsidRDefault="008F787F" w:rsidP="00A2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CCD3B" w14:textId="271649FD" w:rsidR="00414BB7" w:rsidRDefault="006F7178" w:rsidP="002276FD">
    <w:pPr>
      <w:pStyle w:val="Encabezado"/>
      <w:tabs>
        <w:tab w:val="clear" w:pos="4680"/>
        <w:tab w:val="clear" w:pos="9360"/>
      </w:tabs>
      <w:ind w:left="7920" w:right="-306" w:firstLine="444"/>
    </w:pPr>
    <w:bookmarkStart w:id="4" w:name="_Hlk484433278"/>
    <w:bookmarkStart w:id="5" w:name="_Hlk484433279"/>
    <w:r>
      <w:rPr>
        <w:noProof/>
        <w:lang w:val="es-AR" w:eastAsia="es-AR"/>
      </w:rPr>
      <mc:AlternateContent>
        <mc:Choice Requires="wps">
          <w:drawing>
            <wp:anchor distT="0" distB="0" distL="114300" distR="114300" simplePos="0" relativeHeight="251657728" behindDoc="1" locked="0" layoutInCell="1" allowOverlap="1" wp14:anchorId="14C70CF8" wp14:editId="1A6A06FC">
              <wp:simplePos x="0" y="0"/>
              <wp:positionH relativeFrom="column">
                <wp:posOffset>4261899</wp:posOffset>
              </wp:positionH>
              <wp:positionV relativeFrom="paragraph">
                <wp:posOffset>217225</wp:posOffset>
              </wp:positionV>
              <wp:extent cx="1610526" cy="297815"/>
              <wp:effectExtent l="0" t="0" r="889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526"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2D9AF" w14:textId="77777777" w:rsidR="00414BB7" w:rsidRPr="00A12C22" w:rsidRDefault="00414BB7" w:rsidP="00CD30A8">
                          <w:pPr>
                            <w:ind w:left="-142"/>
                            <w:rPr>
                              <w:rFonts w:ascii="Arial Narrow" w:hAnsi="Arial Narrow"/>
                              <w:color w:val="C00000"/>
                              <w:sz w:val="32"/>
                              <w:szCs w:val="32"/>
                            </w:rPr>
                          </w:pPr>
                          <w:r>
                            <w:rPr>
                              <w:rFonts w:ascii="Arial Narrow" w:hAnsi="Arial Narrow"/>
                              <w:color w:val="C00000"/>
                              <w:sz w:val="32"/>
                              <w:szCs w:val="32"/>
                            </w:rPr>
                            <w:t>Secretaría del GAC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5.6pt;margin-top:17.1pt;width:126.8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VN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" stroked="f">
              <v:textbox>
                <w:txbxContent>
                  <w:p w14:paraId="46E2D9AF" w14:textId="77777777" w:rsidR="00414BB7" w:rsidRPr="00A12C22" w:rsidRDefault="00414BB7" w:rsidP="00CD30A8">
                    <w:pPr>
                      <w:ind w:left="-142"/>
                      <w:rPr>
                        <w:rFonts w:ascii="Arial Narrow" w:hAnsi="Arial Narrow"/>
                        <w:color w:val="C00000"/>
                        <w:sz w:val="32"/>
                        <w:szCs w:val="32"/>
                      </w:rPr>
                    </w:pPr>
                    <w:r>
                      <w:rPr>
                        <w:rFonts w:ascii="Arial Narrow" w:hAnsi="Arial Narrow"/>
                        <w:color w:val="C00000"/>
                        <w:sz w:val="32"/>
                        <w:szCs w:val="32"/>
                      </w:rPr>
                      <w:t>Secretaría del GAC</w:t>
                    </w:r>
                  </w:p>
                </w:txbxContent>
              </v:textbox>
            </v:shape>
          </w:pict>
        </mc:Fallback>
      </mc:AlternateContent>
    </w:r>
    <w:r w:rsidR="00414BB7">
      <w:rPr>
        <w:noProof/>
        <w:lang w:val="es-AR" w:eastAsia="es-AR"/>
      </w:rPr>
      <w:drawing>
        <wp:inline distT="0" distB="0" distL="0" distR="0" wp14:anchorId="2EFA62C4" wp14:editId="78201605">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sidR="00414BB7">
      <w:t xml:space="preserve"> </w:t>
    </w:r>
    <w:bookmarkEnd w:id="4"/>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6697E" w14:textId="77777777" w:rsidR="00414BB7" w:rsidRDefault="00414BB7" w:rsidP="00C2562C">
    <w:pPr>
      <w:pStyle w:val="Encabezado"/>
      <w:tabs>
        <w:tab w:val="clear" w:pos="9360"/>
      </w:tabs>
      <w:ind w:left="-851"/>
      <w:jc w:val="center"/>
    </w:pPr>
    <w:r>
      <w:rPr>
        <w:noProof/>
        <w:lang w:val="es-AR" w:eastAsia="es-AR"/>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E7A88"/>
    <w:lvl w:ilvl="0">
      <w:start w:val="1"/>
      <w:numFmt w:val="decimal"/>
      <w:lvlText w:val="%1."/>
      <w:lvlJc w:val="left"/>
      <w:pPr>
        <w:tabs>
          <w:tab w:val="num" w:pos="1492"/>
        </w:tabs>
        <w:ind w:left="1492" w:hanging="360"/>
      </w:pPr>
    </w:lvl>
  </w:abstractNum>
  <w:abstractNum w:abstractNumId="1">
    <w:nsid w:val="FFFFFF7D"/>
    <w:multiLevelType w:val="singleLevel"/>
    <w:tmpl w:val="80EA2A08"/>
    <w:lvl w:ilvl="0">
      <w:start w:val="1"/>
      <w:numFmt w:val="decimal"/>
      <w:lvlText w:val="%1."/>
      <w:lvlJc w:val="left"/>
      <w:pPr>
        <w:tabs>
          <w:tab w:val="num" w:pos="1209"/>
        </w:tabs>
        <w:ind w:left="1209" w:hanging="360"/>
      </w:pPr>
    </w:lvl>
  </w:abstractNum>
  <w:abstractNum w:abstractNumId="2">
    <w:nsid w:val="FFFFFF7E"/>
    <w:multiLevelType w:val="singleLevel"/>
    <w:tmpl w:val="9038251E"/>
    <w:lvl w:ilvl="0">
      <w:start w:val="1"/>
      <w:numFmt w:val="decimal"/>
      <w:lvlText w:val="%1."/>
      <w:lvlJc w:val="left"/>
      <w:pPr>
        <w:tabs>
          <w:tab w:val="num" w:pos="926"/>
        </w:tabs>
        <w:ind w:left="926" w:hanging="360"/>
      </w:pPr>
    </w:lvl>
  </w:abstractNum>
  <w:abstractNum w:abstractNumId="3">
    <w:nsid w:val="FFFFFF7F"/>
    <w:multiLevelType w:val="singleLevel"/>
    <w:tmpl w:val="E6DE91BC"/>
    <w:lvl w:ilvl="0">
      <w:start w:val="1"/>
      <w:numFmt w:val="decimal"/>
      <w:lvlText w:val="%1."/>
      <w:lvlJc w:val="left"/>
      <w:pPr>
        <w:tabs>
          <w:tab w:val="num" w:pos="643"/>
        </w:tabs>
        <w:ind w:left="643" w:hanging="360"/>
      </w:pPr>
    </w:lvl>
  </w:abstractNum>
  <w:abstractNum w:abstractNumId="4">
    <w:nsid w:val="FFFFFF80"/>
    <w:multiLevelType w:val="singleLevel"/>
    <w:tmpl w:val="02B4F4E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0428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CB82D0D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9E4D66"/>
    <w:lvl w:ilvl="0">
      <w:start w:val="1"/>
      <w:numFmt w:val="decimal"/>
      <w:lvlText w:val="%1."/>
      <w:lvlJc w:val="left"/>
      <w:pPr>
        <w:tabs>
          <w:tab w:val="num" w:pos="360"/>
        </w:tabs>
        <w:ind w:left="360" w:hanging="360"/>
      </w:pPr>
    </w:lvl>
  </w:abstractNum>
  <w:abstractNum w:abstractNumId="9">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nsid w:val="015E28A0"/>
    <w:multiLevelType w:val="hybridMultilevel"/>
    <w:tmpl w:val="EBF251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AB64DA"/>
    <w:multiLevelType w:val="hybridMultilevel"/>
    <w:tmpl w:val="9FD2A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DB7688"/>
    <w:multiLevelType w:val="hybridMultilevel"/>
    <w:tmpl w:val="3878CF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1A450202"/>
    <w:multiLevelType w:val="hybridMultilevel"/>
    <w:tmpl w:val="F7D8B8D8"/>
    <w:lvl w:ilvl="0" w:tplc="B096DDAA">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nsid w:val="1CB15D59"/>
    <w:multiLevelType w:val="hybridMultilevel"/>
    <w:tmpl w:val="D99E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097C60"/>
    <w:multiLevelType w:val="hybridMultilevel"/>
    <w:tmpl w:val="6CA6BC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nsid w:val="28405595"/>
    <w:multiLevelType w:val="hybridMultilevel"/>
    <w:tmpl w:val="E4FEA7BA"/>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387A8D"/>
    <w:multiLevelType w:val="hybridMultilevel"/>
    <w:tmpl w:val="3C1A0E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041F29"/>
    <w:multiLevelType w:val="hybridMultilevel"/>
    <w:tmpl w:val="2F46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D3707"/>
    <w:multiLevelType w:val="hybridMultilevel"/>
    <w:tmpl w:val="74EABA78"/>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nsid w:val="431E0922"/>
    <w:multiLevelType w:val="hybridMultilevel"/>
    <w:tmpl w:val="21E47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BE08B2"/>
    <w:multiLevelType w:val="hybridMultilevel"/>
    <w:tmpl w:val="7A325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024B9"/>
    <w:multiLevelType w:val="hybridMultilevel"/>
    <w:tmpl w:val="23D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9E4100"/>
    <w:multiLevelType w:val="multilevel"/>
    <w:tmpl w:val="DAA2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7F5318"/>
    <w:multiLevelType w:val="hybridMultilevel"/>
    <w:tmpl w:val="A88A34A0"/>
    <w:lvl w:ilvl="0" w:tplc="66068FF0">
      <w:start w:val="1"/>
      <w:numFmt w:val="bullet"/>
      <w:pStyle w:val="Listaconvietas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1">
    <w:nsid w:val="5C602446"/>
    <w:multiLevelType w:val="hybridMultilevel"/>
    <w:tmpl w:val="EE9EE864"/>
    <w:lvl w:ilvl="0" w:tplc="D0E229D4">
      <w:start w:val="1"/>
      <w:numFmt w:val="lowerLetter"/>
      <w:lvlText w:val="%1."/>
      <w:lvlJc w:val="left"/>
      <w:pPr>
        <w:ind w:left="720" w:hanging="360"/>
      </w:pPr>
      <w:rPr>
        <w:rFonts w:ascii="Century Gothic" w:hAnsi="Century Gothic"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F22233"/>
    <w:multiLevelType w:val="hybridMultilevel"/>
    <w:tmpl w:val="49A47A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025A17"/>
    <w:multiLevelType w:val="hybridMultilevel"/>
    <w:tmpl w:val="CE3C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893F66"/>
    <w:multiLevelType w:val="hybridMultilevel"/>
    <w:tmpl w:val="E3A842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E520D26"/>
    <w:multiLevelType w:val="hybridMultilevel"/>
    <w:tmpl w:val="403A67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354BE"/>
    <w:multiLevelType w:val="hybridMultilevel"/>
    <w:tmpl w:val="8E3AD8D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DD1040D"/>
    <w:multiLevelType w:val="hybridMultilevel"/>
    <w:tmpl w:val="4516B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970E36"/>
    <w:multiLevelType w:val="hybridMultilevel"/>
    <w:tmpl w:val="DA86D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29"/>
  </w:num>
  <w:num w:numId="14">
    <w:abstractNumId w:val="13"/>
  </w:num>
  <w:num w:numId="15">
    <w:abstractNumId w:val="20"/>
  </w:num>
  <w:num w:numId="16">
    <w:abstractNumId w:val="26"/>
  </w:num>
  <w:num w:numId="17">
    <w:abstractNumId w:val="11"/>
  </w:num>
  <w:num w:numId="18">
    <w:abstractNumId w:val="17"/>
  </w:num>
  <w:num w:numId="19">
    <w:abstractNumId w:val="35"/>
  </w:num>
  <w:num w:numId="20">
    <w:abstractNumId w:val="12"/>
  </w:num>
  <w:num w:numId="21">
    <w:abstractNumId w:val="37"/>
  </w:num>
  <w:num w:numId="22">
    <w:abstractNumId w:val="22"/>
  </w:num>
  <w:num w:numId="23">
    <w:abstractNumId w:val="38"/>
  </w:num>
  <w:num w:numId="24">
    <w:abstractNumId w:val="15"/>
  </w:num>
  <w:num w:numId="25">
    <w:abstractNumId w:val="24"/>
  </w:num>
  <w:num w:numId="26">
    <w:abstractNumId w:val="25"/>
  </w:num>
  <w:num w:numId="27">
    <w:abstractNumId w:val="33"/>
  </w:num>
  <w:num w:numId="28">
    <w:abstractNumId w:val="16"/>
  </w:num>
  <w:num w:numId="29">
    <w:abstractNumId w:val="27"/>
  </w:num>
  <w:num w:numId="30">
    <w:abstractNumId w:val="19"/>
  </w:num>
  <w:num w:numId="31">
    <w:abstractNumId w:val="31"/>
  </w:num>
  <w:num w:numId="32">
    <w:abstractNumId w:val="10"/>
  </w:num>
  <w:num w:numId="33">
    <w:abstractNumId w:val="23"/>
  </w:num>
  <w:num w:numId="34">
    <w:abstractNumId w:val="21"/>
  </w:num>
  <w:num w:numId="35">
    <w:abstractNumId w:val="18"/>
  </w:num>
  <w:num w:numId="36">
    <w:abstractNumId w:val="36"/>
  </w:num>
  <w:num w:numId="37">
    <w:abstractNumId w:val="32"/>
  </w:num>
  <w:num w:numId="38">
    <w:abstractNumId w:val="3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0C"/>
    <w:rsid w:val="0000059C"/>
    <w:rsid w:val="00010398"/>
    <w:rsid w:val="00011375"/>
    <w:rsid w:val="00017DDB"/>
    <w:rsid w:val="00023512"/>
    <w:rsid w:val="0002714F"/>
    <w:rsid w:val="000328A2"/>
    <w:rsid w:val="00051AE4"/>
    <w:rsid w:val="000762FE"/>
    <w:rsid w:val="000830E5"/>
    <w:rsid w:val="00083BC8"/>
    <w:rsid w:val="0009215F"/>
    <w:rsid w:val="00093540"/>
    <w:rsid w:val="000964B7"/>
    <w:rsid w:val="000B4BF2"/>
    <w:rsid w:val="000C0FD7"/>
    <w:rsid w:val="000C363E"/>
    <w:rsid w:val="000C5167"/>
    <w:rsid w:val="000C6B2E"/>
    <w:rsid w:val="000F4835"/>
    <w:rsid w:val="001049DD"/>
    <w:rsid w:val="00105478"/>
    <w:rsid w:val="00126B3C"/>
    <w:rsid w:val="001553D7"/>
    <w:rsid w:val="001577F4"/>
    <w:rsid w:val="0016195D"/>
    <w:rsid w:val="001739BC"/>
    <w:rsid w:val="0017576D"/>
    <w:rsid w:val="00193496"/>
    <w:rsid w:val="001A03E9"/>
    <w:rsid w:val="001B337F"/>
    <w:rsid w:val="001F1269"/>
    <w:rsid w:val="001F522A"/>
    <w:rsid w:val="002058B3"/>
    <w:rsid w:val="002110FA"/>
    <w:rsid w:val="0021574F"/>
    <w:rsid w:val="002276FD"/>
    <w:rsid w:val="00250279"/>
    <w:rsid w:val="0025104A"/>
    <w:rsid w:val="00262ACB"/>
    <w:rsid w:val="00266CAF"/>
    <w:rsid w:val="00273354"/>
    <w:rsid w:val="00273DE7"/>
    <w:rsid w:val="002A3393"/>
    <w:rsid w:val="002F7386"/>
    <w:rsid w:val="00313CEC"/>
    <w:rsid w:val="00327A1A"/>
    <w:rsid w:val="003308BB"/>
    <w:rsid w:val="003401B4"/>
    <w:rsid w:val="003643C4"/>
    <w:rsid w:val="003644DC"/>
    <w:rsid w:val="00364F2E"/>
    <w:rsid w:val="00373418"/>
    <w:rsid w:val="003952E6"/>
    <w:rsid w:val="003961C1"/>
    <w:rsid w:val="003A1AB7"/>
    <w:rsid w:val="003A38F1"/>
    <w:rsid w:val="003A6011"/>
    <w:rsid w:val="003C23AE"/>
    <w:rsid w:val="003D4677"/>
    <w:rsid w:val="003D7A8D"/>
    <w:rsid w:val="00400344"/>
    <w:rsid w:val="00406CEE"/>
    <w:rsid w:val="00412A64"/>
    <w:rsid w:val="00412D18"/>
    <w:rsid w:val="00414BB7"/>
    <w:rsid w:val="00416093"/>
    <w:rsid w:val="004256A5"/>
    <w:rsid w:val="004329CE"/>
    <w:rsid w:val="00454CBD"/>
    <w:rsid w:val="0047328E"/>
    <w:rsid w:val="00475D02"/>
    <w:rsid w:val="00481803"/>
    <w:rsid w:val="00482610"/>
    <w:rsid w:val="004837E2"/>
    <w:rsid w:val="00484344"/>
    <w:rsid w:val="00492E56"/>
    <w:rsid w:val="004951F3"/>
    <w:rsid w:val="004A58B8"/>
    <w:rsid w:val="004D1CD5"/>
    <w:rsid w:val="004E04A6"/>
    <w:rsid w:val="004E22C7"/>
    <w:rsid w:val="004E2498"/>
    <w:rsid w:val="004F2490"/>
    <w:rsid w:val="004F7DFD"/>
    <w:rsid w:val="0051347B"/>
    <w:rsid w:val="0053220F"/>
    <w:rsid w:val="00541F5E"/>
    <w:rsid w:val="00542806"/>
    <w:rsid w:val="00574D76"/>
    <w:rsid w:val="00577F86"/>
    <w:rsid w:val="00580A87"/>
    <w:rsid w:val="00591235"/>
    <w:rsid w:val="0059245A"/>
    <w:rsid w:val="00592617"/>
    <w:rsid w:val="005963C1"/>
    <w:rsid w:val="005A6672"/>
    <w:rsid w:val="005B7B51"/>
    <w:rsid w:val="005C1A9E"/>
    <w:rsid w:val="005C34B9"/>
    <w:rsid w:val="005E2917"/>
    <w:rsid w:val="005E2AFC"/>
    <w:rsid w:val="00610994"/>
    <w:rsid w:val="00616F3E"/>
    <w:rsid w:val="00624AEC"/>
    <w:rsid w:val="00641091"/>
    <w:rsid w:val="00641E9D"/>
    <w:rsid w:val="00647D6D"/>
    <w:rsid w:val="00652018"/>
    <w:rsid w:val="00652976"/>
    <w:rsid w:val="0067002E"/>
    <w:rsid w:val="006735F6"/>
    <w:rsid w:val="0067792E"/>
    <w:rsid w:val="00683C6C"/>
    <w:rsid w:val="0068512A"/>
    <w:rsid w:val="0069617F"/>
    <w:rsid w:val="00696D27"/>
    <w:rsid w:val="006C0C2E"/>
    <w:rsid w:val="006F7178"/>
    <w:rsid w:val="00700CF9"/>
    <w:rsid w:val="00714D70"/>
    <w:rsid w:val="00722431"/>
    <w:rsid w:val="0072423D"/>
    <w:rsid w:val="007254F9"/>
    <w:rsid w:val="00731C3E"/>
    <w:rsid w:val="00740F60"/>
    <w:rsid w:val="007562E8"/>
    <w:rsid w:val="00756E0C"/>
    <w:rsid w:val="007670C2"/>
    <w:rsid w:val="00772829"/>
    <w:rsid w:val="00776376"/>
    <w:rsid w:val="007877CD"/>
    <w:rsid w:val="007A174E"/>
    <w:rsid w:val="007A6CF2"/>
    <w:rsid w:val="007A7B6C"/>
    <w:rsid w:val="007C651A"/>
    <w:rsid w:val="007D32B7"/>
    <w:rsid w:val="007E16EE"/>
    <w:rsid w:val="007F11CB"/>
    <w:rsid w:val="007F47EB"/>
    <w:rsid w:val="007F5CD3"/>
    <w:rsid w:val="00800F85"/>
    <w:rsid w:val="00801D1B"/>
    <w:rsid w:val="00815A76"/>
    <w:rsid w:val="00817EAC"/>
    <w:rsid w:val="008246F4"/>
    <w:rsid w:val="0082500F"/>
    <w:rsid w:val="00854588"/>
    <w:rsid w:val="0087059D"/>
    <w:rsid w:val="0087098A"/>
    <w:rsid w:val="008822A3"/>
    <w:rsid w:val="00882354"/>
    <w:rsid w:val="0088268E"/>
    <w:rsid w:val="00896848"/>
    <w:rsid w:val="008B2849"/>
    <w:rsid w:val="008C37FE"/>
    <w:rsid w:val="008C4F95"/>
    <w:rsid w:val="008D31F9"/>
    <w:rsid w:val="008E3BCE"/>
    <w:rsid w:val="008F787F"/>
    <w:rsid w:val="00903001"/>
    <w:rsid w:val="00904060"/>
    <w:rsid w:val="00910E19"/>
    <w:rsid w:val="009123B6"/>
    <w:rsid w:val="00920FBF"/>
    <w:rsid w:val="009673D3"/>
    <w:rsid w:val="0099631A"/>
    <w:rsid w:val="009B16D5"/>
    <w:rsid w:val="009C60E1"/>
    <w:rsid w:val="009C77A8"/>
    <w:rsid w:val="009E2D17"/>
    <w:rsid w:val="00A07882"/>
    <w:rsid w:val="00A12C22"/>
    <w:rsid w:val="00A1705A"/>
    <w:rsid w:val="00A21A3B"/>
    <w:rsid w:val="00A24449"/>
    <w:rsid w:val="00A40DB0"/>
    <w:rsid w:val="00A531D4"/>
    <w:rsid w:val="00A55D0C"/>
    <w:rsid w:val="00A660EB"/>
    <w:rsid w:val="00A779C6"/>
    <w:rsid w:val="00A86B36"/>
    <w:rsid w:val="00A9062B"/>
    <w:rsid w:val="00A9778B"/>
    <w:rsid w:val="00AA0126"/>
    <w:rsid w:val="00AA2944"/>
    <w:rsid w:val="00AA78F5"/>
    <w:rsid w:val="00AB26F7"/>
    <w:rsid w:val="00AC5490"/>
    <w:rsid w:val="00AC54BB"/>
    <w:rsid w:val="00AD1076"/>
    <w:rsid w:val="00AF5E8B"/>
    <w:rsid w:val="00B026C8"/>
    <w:rsid w:val="00B21330"/>
    <w:rsid w:val="00B22FE8"/>
    <w:rsid w:val="00B30023"/>
    <w:rsid w:val="00B4670D"/>
    <w:rsid w:val="00B72107"/>
    <w:rsid w:val="00B72D49"/>
    <w:rsid w:val="00B7340B"/>
    <w:rsid w:val="00B73F13"/>
    <w:rsid w:val="00B77372"/>
    <w:rsid w:val="00BA0533"/>
    <w:rsid w:val="00BE4850"/>
    <w:rsid w:val="00BE60A1"/>
    <w:rsid w:val="00C03AA6"/>
    <w:rsid w:val="00C114D4"/>
    <w:rsid w:val="00C144AE"/>
    <w:rsid w:val="00C21952"/>
    <w:rsid w:val="00C2562C"/>
    <w:rsid w:val="00C26F6D"/>
    <w:rsid w:val="00C3454E"/>
    <w:rsid w:val="00C50258"/>
    <w:rsid w:val="00C50C2C"/>
    <w:rsid w:val="00C71EBE"/>
    <w:rsid w:val="00C74517"/>
    <w:rsid w:val="00C863F4"/>
    <w:rsid w:val="00C86D44"/>
    <w:rsid w:val="00C9701E"/>
    <w:rsid w:val="00CD2809"/>
    <w:rsid w:val="00CD30A8"/>
    <w:rsid w:val="00CD57F8"/>
    <w:rsid w:val="00CF0606"/>
    <w:rsid w:val="00CF4236"/>
    <w:rsid w:val="00CF4E9A"/>
    <w:rsid w:val="00CF56FA"/>
    <w:rsid w:val="00D01CBD"/>
    <w:rsid w:val="00D0291F"/>
    <w:rsid w:val="00D049CB"/>
    <w:rsid w:val="00D06136"/>
    <w:rsid w:val="00D07C27"/>
    <w:rsid w:val="00D161F9"/>
    <w:rsid w:val="00D17FF3"/>
    <w:rsid w:val="00D41280"/>
    <w:rsid w:val="00D5733E"/>
    <w:rsid w:val="00D57B30"/>
    <w:rsid w:val="00D67997"/>
    <w:rsid w:val="00D67ECC"/>
    <w:rsid w:val="00D761C5"/>
    <w:rsid w:val="00D86EA8"/>
    <w:rsid w:val="00D9442D"/>
    <w:rsid w:val="00D94ECA"/>
    <w:rsid w:val="00DA436F"/>
    <w:rsid w:val="00DA46B6"/>
    <w:rsid w:val="00DA5ADE"/>
    <w:rsid w:val="00DB2704"/>
    <w:rsid w:val="00DB2F1E"/>
    <w:rsid w:val="00DB4C31"/>
    <w:rsid w:val="00DC39CB"/>
    <w:rsid w:val="00DC6026"/>
    <w:rsid w:val="00DD2C34"/>
    <w:rsid w:val="00DD4EEC"/>
    <w:rsid w:val="00DE065C"/>
    <w:rsid w:val="00DE621B"/>
    <w:rsid w:val="00DF0A41"/>
    <w:rsid w:val="00DF0C5D"/>
    <w:rsid w:val="00DF5B00"/>
    <w:rsid w:val="00E016F8"/>
    <w:rsid w:val="00E0220E"/>
    <w:rsid w:val="00E06DE4"/>
    <w:rsid w:val="00E1009D"/>
    <w:rsid w:val="00E248DA"/>
    <w:rsid w:val="00E3060B"/>
    <w:rsid w:val="00E41689"/>
    <w:rsid w:val="00E52362"/>
    <w:rsid w:val="00E55284"/>
    <w:rsid w:val="00E57BDD"/>
    <w:rsid w:val="00E615C7"/>
    <w:rsid w:val="00E61DEA"/>
    <w:rsid w:val="00E64914"/>
    <w:rsid w:val="00E6685E"/>
    <w:rsid w:val="00E7196B"/>
    <w:rsid w:val="00E9134A"/>
    <w:rsid w:val="00E9160C"/>
    <w:rsid w:val="00E927F8"/>
    <w:rsid w:val="00EA3A02"/>
    <w:rsid w:val="00EC3C37"/>
    <w:rsid w:val="00ED747D"/>
    <w:rsid w:val="00ED7F28"/>
    <w:rsid w:val="00EE2665"/>
    <w:rsid w:val="00F1229D"/>
    <w:rsid w:val="00F16B9A"/>
    <w:rsid w:val="00F179A4"/>
    <w:rsid w:val="00F21D6A"/>
    <w:rsid w:val="00F42A85"/>
    <w:rsid w:val="00F4462E"/>
    <w:rsid w:val="00F46F4F"/>
    <w:rsid w:val="00F53CFC"/>
    <w:rsid w:val="00F60721"/>
    <w:rsid w:val="00F60D91"/>
    <w:rsid w:val="00F6331C"/>
    <w:rsid w:val="00F9263E"/>
    <w:rsid w:val="00F96D2C"/>
    <w:rsid w:val="00FB365D"/>
    <w:rsid w:val="00FC2E8B"/>
    <w:rsid w:val="00FC4CC5"/>
    <w:rsid w:val="00FF08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84"/>
    <w:rPr>
      <w:rFonts w:ascii="Times New Roman" w:eastAsia="Times New Roman" w:hAnsi="Times New Roman"/>
      <w:sz w:val="24"/>
      <w:szCs w:val="24"/>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EE2665"/>
    <w:pPr>
      <w:keepNext/>
      <w:keepLines/>
      <w:ind w:right="545"/>
      <w:outlineLvl w:val="1"/>
    </w:pPr>
    <w:rPr>
      <w:b/>
      <w:color w:val="1F4E79" w:themeColor="accent1" w:themeShade="80"/>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2665"/>
    <w:rPr>
      <w:b/>
      <w:color w:val="1F4E79" w:themeColor="accent1" w:themeShade="80"/>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lang w:eastAsia="en-US"/>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lang w:eastAsia="en-US"/>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12"/>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lang w:eastAsia="en-US"/>
    </w:rPr>
  </w:style>
  <w:style w:type="paragraph" w:styleId="Listaconvietas3">
    <w:name w:val="List Bullet 3"/>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lang w:eastAsia="en-US"/>
    </w:rPr>
  </w:style>
  <w:style w:type="paragraph" w:styleId="Listaconvietas4">
    <w:name w:val="List Bullet 4"/>
    <w:basedOn w:val="Normal"/>
    <w:uiPriority w:val="99"/>
    <w:unhideWhenUsed/>
    <w:rsid w:val="003961C1"/>
    <w:pPr>
      <w:numPr>
        <w:numId w:val="4"/>
      </w:numPr>
      <w:spacing w:after="200" w:line="276" w:lineRule="auto"/>
      <w:contextualSpacing/>
      <w:jc w:val="both"/>
    </w:pPr>
    <w:rPr>
      <w:rFonts w:ascii="Century Gothic" w:eastAsia="Calibri" w:hAnsi="Century Gothic"/>
      <w:sz w:val="20"/>
      <w:szCs w:val="22"/>
      <w:lang w:eastAsia="en-US"/>
    </w:rPr>
  </w:style>
  <w:style w:type="paragraph" w:styleId="Listaconvietas5">
    <w:name w:val="List Bullet 5"/>
    <w:basedOn w:val="Normal"/>
    <w:uiPriority w:val="99"/>
    <w:unhideWhenUsed/>
    <w:rsid w:val="003961C1"/>
    <w:pPr>
      <w:numPr>
        <w:numId w:val="5"/>
      </w:numPr>
      <w:spacing w:after="200" w:line="276" w:lineRule="auto"/>
      <w:contextualSpacing/>
      <w:jc w:val="both"/>
    </w:pPr>
    <w:rPr>
      <w:rFonts w:ascii="Century Gothic" w:eastAsia="Calibri" w:hAnsi="Century Gothic"/>
      <w:sz w:val="20"/>
      <w:szCs w:val="22"/>
      <w:lang w:eastAsia="en-US"/>
    </w:rPr>
  </w:style>
  <w:style w:type="paragraph" w:styleId="Prrafodelista">
    <w:name w:val="List Paragraph"/>
    <w:basedOn w:val="Normal"/>
    <w:uiPriority w:val="34"/>
    <w:qFormat/>
    <w:rsid w:val="00C26F6D"/>
    <w:pPr>
      <w:spacing w:after="200" w:line="276" w:lineRule="auto"/>
      <w:ind w:left="720"/>
      <w:jc w:val="both"/>
    </w:pPr>
    <w:rPr>
      <w:rFonts w:ascii="Century Gothic" w:eastAsia="Calibri" w:hAnsi="Century Gothic"/>
      <w:sz w:val="20"/>
      <w:szCs w:val="22"/>
      <w:lang w:eastAsia="en-US"/>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lang w:eastAsia="en-US"/>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rPr>
      <w:rFonts w:ascii="Calibri" w:hAnsi="Calibri"/>
      <w:lang w:eastAsia="en-US"/>
    </w:rPr>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eastAsia="Calibri" w:hAnsi="Tahoma" w:cs="Tahoma"/>
      <w:sz w:val="16"/>
      <w:szCs w:val="16"/>
      <w:lang w:eastAsia="en-GB"/>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customStyle="1" w:styleId="apple-converted-space">
    <w:name w:val="apple-converted-space"/>
    <w:basedOn w:val="Fuentedeprrafopredeter"/>
    <w:rsid w:val="00E1009D"/>
  </w:style>
  <w:style w:type="paragraph" w:styleId="NormalWeb">
    <w:name w:val="Normal (Web)"/>
    <w:basedOn w:val="Normal"/>
    <w:uiPriority w:val="99"/>
    <w:semiHidden/>
    <w:unhideWhenUsed/>
    <w:rsid w:val="00D761C5"/>
    <w:pPr>
      <w:spacing w:before="100" w:beforeAutospacing="1" w:after="100" w:afterAutospacing="1"/>
    </w:pPr>
    <w:rPr>
      <w:rFonts w:eastAsia="Calibri"/>
      <w:lang w:eastAsia="en-GB"/>
    </w:rPr>
  </w:style>
  <w:style w:type="character" w:styleId="Hipervnculovisitado">
    <w:name w:val="FollowedHyperlink"/>
    <w:basedOn w:val="Fuentedeprrafopredeter"/>
    <w:uiPriority w:val="99"/>
    <w:semiHidden/>
    <w:unhideWhenUsed/>
    <w:rsid w:val="00A9062B"/>
    <w:rPr>
      <w:color w:val="954F72" w:themeColor="followedHyperlink"/>
      <w:u w:val="single"/>
    </w:rPr>
  </w:style>
  <w:style w:type="character" w:customStyle="1" w:styleId="UnresolvedMention">
    <w:name w:val="Unresolved Mention"/>
    <w:basedOn w:val="Fuentedeprrafopredeter"/>
    <w:uiPriority w:val="99"/>
    <w:rsid w:val="003D467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s-MX"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84"/>
    <w:rPr>
      <w:rFonts w:ascii="Times New Roman" w:eastAsia="Times New Roman" w:hAnsi="Times New Roman"/>
      <w:sz w:val="24"/>
      <w:szCs w:val="24"/>
    </w:rPr>
  </w:style>
  <w:style w:type="paragraph" w:styleId="Ttulo1">
    <w:name w:val="heading 1"/>
    <w:next w:val="Textoindependiente"/>
    <w:link w:val="Ttulo1C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Ttulo2">
    <w:name w:val="heading 2"/>
    <w:basedOn w:val="Textoindependiente"/>
    <w:next w:val="Textoindependiente"/>
    <w:link w:val="Ttulo2Car"/>
    <w:autoRedefine/>
    <w:uiPriority w:val="9"/>
    <w:unhideWhenUsed/>
    <w:qFormat/>
    <w:rsid w:val="00EE2665"/>
    <w:pPr>
      <w:keepNext/>
      <w:keepLines/>
      <w:ind w:right="545"/>
      <w:outlineLvl w:val="1"/>
    </w:pPr>
    <w:rPr>
      <w:b/>
      <w:color w:val="1F4E79" w:themeColor="accent1" w:themeShade="80"/>
      <w:sz w:val="24"/>
      <w:szCs w:val="24"/>
    </w:rPr>
  </w:style>
  <w:style w:type="paragraph" w:styleId="Ttulo3">
    <w:name w:val="heading 3"/>
    <w:basedOn w:val="Textoindependiente"/>
    <w:next w:val="Textoindependiente"/>
    <w:link w:val="Ttulo3Car"/>
    <w:uiPriority w:val="9"/>
    <w:unhideWhenUsed/>
    <w:qFormat/>
    <w:rsid w:val="00CF4E9A"/>
    <w:pPr>
      <w:keepNext/>
      <w:keepLines/>
      <w:jc w:val="left"/>
      <w:outlineLvl w:val="2"/>
    </w:pPr>
    <w:rPr>
      <w:b/>
      <w:color w:val="00408E"/>
    </w:rPr>
  </w:style>
  <w:style w:type="paragraph" w:styleId="Ttulo4">
    <w:name w:val="heading 4"/>
    <w:basedOn w:val="Textoindependiente"/>
    <w:next w:val="Textoindependiente"/>
    <w:link w:val="Ttulo4Car"/>
    <w:uiPriority w:val="9"/>
    <w:unhideWhenUsed/>
    <w:qFormat/>
    <w:rsid w:val="004E22C7"/>
    <w:pPr>
      <w:keepNext/>
      <w:keepLines/>
      <w:jc w:val="left"/>
      <w:outlineLvl w:val="3"/>
    </w:pPr>
    <w:rPr>
      <w:color w:val="00408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2665"/>
    <w:rPr>
      <w:b/>
      <w:color w:val="1F4E79" w:themeColor="accent1" w:themeShade="80"/>
      <w:sz w:val="24"/>
      <w:szCs w:val="24"/>
      <w:lang w:eastAsia="en-US"/>
    </w:rPr>
  </w:style>
  <w:style w:type="paragraph" w:styleId="TD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lang w:eastAsia="en-US"/>
    </w:rPr>
  </w:style>
  <w:style w:type="paragraph" w:styleId="Encabezado">
    <w:name w:val="header"/>
    <w:basedOn w:val="Textoindependiente"/>
    <w:link w:val="EncabezadoCar"/>
    <w:uiPriority w:val="99"/>
    <w:unhideWhenUsed/>
    <w:rsid w:val="00A24449"/>
    <w:pPr>
      <w:tabs>
        <w:tab w:val="center" w:pos="4680"/>
        <w:tab w:val="right" w:pos="9360"/>
      </w:tabs>
    </w:pPr>
  </w:style>
  <w:style w:type="character" w:customStyle="1" w:styleId="EncabezadoCar">
    <w:name w:val="Encabezado Car"/>
    <w:basedOn w:val="Fuentedeprrafopredeter"/>
    <w:link w:val="Encabezado"/>
    <w:uiPriority w:val="99"/>
    <w:rsid w:val="00AD1076"/>
    <w:rPr>
      <w:rFonts w:ascii="Century Gothic" w:hAnsi="Century Gothic"/>
      <w:szCs w:val="22"/>
      <w:lang w:val="es-MX"/>
    </w:rPr>
  </w:style>
  <w:style w:type="paragraph" w:styleId="Piedepgina">
    <w:name w:val="footer"/>
    <w:basedOn w:val="Normal"/>
    <w:link w:val="PiedepginaC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lang w:eastAsia="en-US"/>
    </w:rPr>
  </w:style>
  <w:style w:type="character" w:customStyle="1" w:styleId="PiedepginaCar">
    <w:name w:val="Pie de página Car"/>
    <w:basedOn w:val="Fuentedeprrafopredeter"/>
    <w:link w:val="Piedepgina"/>
    <w:uiPriority w:val="99"/>
    <w:rsid w:val="00A24449"/>
    <w:rPr>
      <w:rFonts w:ascii="Century Gothic" w:hAnsi="Century Gothic"/>
      <w:szCs w:val="22"/>
      <w:lang w:val="es-MX"/>
    </w:rPr>
  </w:style>
  <w:style w:type="character" w:customStyle="1" w:styleId="Ttulo1Car">
    <w:name w:val="Título 1 Car"/>
    <w:basedOn w:val="Fuentedeprrafopredeter"/>
    <w:link w:val="Ttulo1"/>
    <w:uiPriority w:val="9"/>
    <w:rsid w:val="00CF4E9A"/>
    <w:rPr>
      <w:b/>
      <w:color w:val="00408E"/>
      <w:sz w:val="28"/>
      <w:szCs w:val="28"/>
      <w:lang w:val="es-MX" w:eastAsia="en-US" w:bidi="ar-SA"/>
    </w:rPr>
  </w:style>
  <w:style w:type="paragraph" w:styleId="Ttulo">
    <w:name w:val="Title"/>
    <w:basedOn w:val="Textoindependiente"/>
    <w:next w:val="Textoindependiente"/>
    <w:link w:val="TtuloCar"/>
    <w:autoRedefine/>
    <w:uiPriority w:val="10"/>
    <w:qFormat/>
    <w:rsid w:val="00A86B36"/>
    <w:pPr>
      <w:spacing w:before="240" w:after="60"/>
      <w:jc w:val="center"/>
      <w:outlineLvl w:val="0"/>
    </w:pPr>
    <w:rPr>
      <w:rFonts w:eastAsia="Times New Roman"/>
      <w:b/>
      <w:bCs/>
      <w:color w:val="00408E"/>
      <w:kern w:val="28"/>
      <w:sz w:val="48"/>
      <w:szCs w:val="48"/>
    </w:rPr>
  </w:style>
  <w:style w:type="paragraph" w:styleId="Textoindependiente">
    <w:name w:val="Body Text"/>
    <w:link w:val="TextoindependienteCar"/>
    <w:uiPriority w:val="99"/>
    <w:unhideWhenUsed/>
    <w:qFormat/>
    <w:rsid w:val="004E22C7"/>
    <w:pPr>
      <w:spacing w:after="200" w:line="276" w:lineRule="auto"/>
      <w:jc w:val="both"/>
    </w:pPr>
    <w:rPr>
      <w:szCs w:val="22"/>
      <w:lang w:eastAsia="en-US"/>
    </w:rPr>
  </w:style>
  <w:style w:type="character" w:customStyle="1" w:styleId="TextoindependienteCar">
    <w:name w:val="Texto independiente Car"/>
    <w:basedOn w:val="Fuentedeprrafopredeter"/>
    <w:link w:val="Textoindependiente"/>
    <w:uiPriority w:val="99"/>
    <w:rsid w:val="004E22C7"/>
    <w:rPr>
      <w:szCs w:val="22"/>
      <w:lang w:val="es-MX" w:eastAsia="en-US" w:bidi="ar-SA"/>
    </w:rPr>
  </w:style>
  <w:style w:type="character" w:customStyle="1" w:styleId="TtuloCar">
    <w:name w:val="Título Car"/>
    <w:basedOn w:val="Fuentedeprrafopredeter"/>
    <w:link w:val="Ttulo"/>
    <w:uiPriority w:val="10"/>
    <w:rsid w:val="00A86B36"/>
    <w:rPr>
      <w:rFonts w:eastAsia="Times New Roman"/>
      <w:b/>
      <w:bCs/>
      <w:color w:val="00408E"/>
      <w:kern w:val="28"/>
      <w:sz w:val="48"/>
      <w:szCs w:val="48"/>
      <w:lang w:val="es-MX"/>
    </w:rPr>
  </w:style>
  <w:style w:type="character" w:styleId="Hipervnculo">
    <w:name w:val="Hyperlink"/>
    <w:basedOn w:val="Fuentedeprrafopredeter"/>
    <w:uiPriority w:val="99"/>
    <w:unhideWhenUsed/>
    <w:rsid w:val="0072423D"/>
    <w:rPr>
      <w:color w:val="0000FF"/>
      <w:u w:val="single"/>
    </w:rPr>
  </w:style>
  <w:style w:type="character" w:customStyle="1" w:styleId="Ttulo3Car">
    <w:name w:val="Título 3 Car"/>
    <w:basedOn w:val="Fuentedeprrafopredeter"/>
    <w:link w:val="Ttulo3"/>
    <w:uiPriority w:val="9"/>
    <w:rsid w:val="00CF4E9A"/>
    <w:rPr>
      <w:b/>
      <w:color w:val="00408E"/>
      <w:szCs w:val="22"/>
      <w:lang w:val="es-MX"/>
    </w:rPr>
  </w:style>
  <w:style w:type="character" w:customStyle="1" w:styleId="Ttulo4Car">
    <w:name w:val="Título 4 Car"/>
    <w:basedOn w:val="Fuentedeprrafopredeter"/>
    <w:link w:val="Ttulo4"/>
    <w:uiPriority w:val="9"/>
    <w:rsid w:val="004E22C7"/>
    <w:rPr>
      <w:color w:val="00408E"/>
      <w:szCs w:val="22"/>
      <w:lang w:val="es-MX"/>
    </w:rPr>
  </w:style>
  <w:style w:type="paragraph" w:styleId="Listaconvietas">
    <w:name w:val="List Bullet"/>
    <w:basedOn w:val="Listaconvietas5"/>
    <w:uiPriority w:val="99"/>
    <w:unhideWhenUsed/>
    <w:qFormat/>
    <w:rsid w:val="004837E2"/>
    <w:pPr>
      <w:tabs>
        <w:tab w:val="num" w:pos="644"/>
      </w:tabs>
      <w:ind w:left="641" w:hanging="357"/>
      <w:contextualSpacing w:val="0"/>
    </w:pPr>
  </w:style>
  <w:style w:type="paragraph" w:styleId="Listaconvietas2">
    <w:name w:val="List Bullet 2"/>
    <w:basedOn w:val="Listaconvietas"/>
    <w:uiPriority w:val="99"/>
    <w:unhideWhenUsed/>
    <w:rsid w:val="008C4F95"/>
    <w:pPr>
      <w:numPr>
        <w:numId w:val="12"/>
      </w:numPr>
      <w:tabs>
        <w:tab w:val="num" w:pos="1492"/>
      </w:tabs>
      <w:ind w:left="993"/>
    </w:pPr>
  </w:style>
  <w:style w:type="paragraph" w:styleId="Continuarlista">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lang w:eastAsia="en-US"/>
    </w:rPr>
  </w:style>
  <w:style w:type="paragraph" w:styleId="Listaconvietas3">
    <w:name w:val="List Bullet 3"/>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lang w:eastAsia="en-US"/>
    </w:rPr>
  </w:style>
  <w:style w:type="paragraph" w:styleId="Listaconvietas4">
    <w:name w:val="List Bullet 4"/>
    <w:basedOn w:val="Normal"/>
    <w:uiPriority w:val="99"/>
    <w:unhideWhenUsed/>
    <w:rsid w:val="003961C1"/>
    <w:pPr>
      <w:numPr>
        <w:numId w:val="4"/>
      </w:numPr>
      <w:spacing w:after="200" w:line="276" w:lineRule="auto"/>
      <w:contextualSpacing/>
      <w:jc w:val="both"/>
    </w:pPr>
    <w:rPr>
      <w:rFonts w:ascii="Century Gothic" w:eastAsia="Calibri" w:hAnsi="Century Gothic"/>
      <w:sz w:val="20"/>
      <w:szCs w:val="22"/>
      <w:lang w:eastAsia="en-US"/>
    </w:rPr>
  </w:style>
  <w:style w:type="paragraph" w:styleId="Listaconvietas5">
    <w:name w:val="List Bullet 5"/>
    <w:basedOn w:val="Normal"/>
    <w:uiPriority w:val="99"/>
    <w:unhideWhenUsed/>
    <w:rsid w:val="003961C1"/>
    <w:pPr>
      <w:numPr>
        <w:numId w:val="5"/>
      </w:numPr>
      <w:spacing w:after="200" w:line="276" w:lineRule="auto"/>
      <w:contextualSpacing/>
      <w:jc w:val="both"/>
    </w:pPr>
    <w:rPr>
      <w:rFonts w:ascii="Century Gothic" w:eastAsia="Calibri" w:hAnsi="Century Gothic"/>
      <w:sz w:val="20"/>
      <w:szCs w:val="22"/>
      <w:lang w:eastAsia="en-US"/>
    </w:rPr>
  </w:style>
  <w:style w:type="paragraph" w:styleId="Prrafodelista">
    <w:name w:val="List Paragraph"/>
    <w:basedOn w:val="Normal"/>
    <w:uiPriority w:val="34"/>
    <w:qFormat/>
    <w:rsid w:val="00C26F6D"/>
    <w:pPr>
      <w:spacing w:after="200" w:line="276" w:lineRule="auto"/>
      <w:ind w:left="720"/>
      <w:jc w:val="both"/>
    </w:pPr>
    <w:rPr>
      <w:rFonts w:ascii="Century Gothic" w:eastAsia="Calibri" w:hAnsi="Century Gothic"/>
      <w:sz w:val="20"/>
      <w:szCs w:val="22"/>
      <w:lang w:eastAsia="en-US"/>
    </w:rPr>
  </w:style>
  <w:style w:type="paragraph" w:styleId="Encabezadodelista">
    <w:name w:val="toa heading"/>
    <w:basedOn w:val="Ttulo1"/>
    <w:next w:val="Normal"/>
    <w:uiPriority w:val="99"/>
    <w:unhideWhenUsed/>
    <w:rsid w:val="000C5167"/>
    <w:pPr>
      <w:spacing w:after="400"/>
    </w:pPr>
  </w:style>
  <w:style w:type="table" w:styleId="Tablaconcuadrcula">
    <w:name w:val="Table Grid"/>
    <w:basedOn w:val="Tabla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a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5">
    <w:name w:val="Light Shading Accent 5"/>
    <w:basedOn w:val="Tabla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a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lang w:eastAsia="en-US"/>
    </w:rPr>
  </w:style>
  <w:style w:type="paragraph" w:styleId="Sinespaciado">
    <w:name w:val="No Spacing"/>
    <w:uiPriority w:val="1"/>
    <w:qFormat/>
    <w:rsid w:val="00C2562C"/>
    <w:pPr>
      <w:jc w:val="both"/>
    </w:pPr>
    <w:rPr>
      <w:szCs w:val="22"/>
      <w:lang w:eastAsia="en-US"/>
    </w:rPr>
  </w:style>
  <w:style w:type="paragraph" w:styleId="Textonotapie">
    <w:name w:val="footnote text"/>
    <w:basedOn w:val="Normal"/>
    <w:link w:val="TextonotapieCar"/>
    <w:uiPriority w:val="99"/>
    <w:unhideWhenUsed/>
    <w:rsid w:val="00406CEE"/>
    <w:rPr>
      <w:rFonts w:ascii="Calibri" w:hAnsi="Calibri"/>
      <w:lang w:eastAsia="en-US"/>
    </w:rPr>
  </w:style>
  <w:style w:type="character" w:customStyle="1" w:styleId="TextonotapieCar">
    <w:name w:val="Texto nota pie Car"/>
    <w:basedOn w:val="Fuentedeprrafopredeter"/>
    <w:link w:val="Textonotapie"/>
    <w:uiPriority w:val="99"/>
    <w:rsid w:val="00406CEE"/>
    <w:rPr>
      <w:rFonts w:ascii="Calibri" w:eastAsia="Times New Roman" w:hAnsi="Calibri" w:cs="Times New Roman"/>
      <w:sz w:val="24"/>
      <w:szCs w:val="24"/>
    </w:rPr>
  </w:style>
  <w:style w:type="character" w:styleId="Refdenotaalpie">
    <w:name w:val="footnote reference"/>
    <w:basedOn w:val="Fuentedeprrafopredeter"/>
    <w:uiPriority w:val="99"/>
    <w:unhideWhenUsed/>
    <w:rsid w:val="00406CEE"/>
    <w:rPr>
      <w:vertAlign w:val="superscript"/>
    </w:rPr>
  </w:style>
  <w:style w:type="paragraph" w:styleId="Textodeglobo">
    <w:name w:val="Balloon Text"/>
    <w:basedOn w:val="Normal"/>
    <w:link w:val="TextodegloboCar"/>
    <w:uiPriority w:val="99"/>
    <w:semiHidden/>
    <w:unhideWhenUsed/>
    <w:rsid w:val="00406CEE"/>
    <w:rPr>
      <w:rFonts w:ascii="Tahoma" w:eastAsia="Calibri" w:hAnsi="Tahoma" w:cs="Tahoma"/>
      <w:sz w:val="16"/>
      <w:szCs w:val="16"/>
      <w:lang w:eastAsia="en-GB"/>
    </w:rPr>
  </w:style>
  <w:style w:type="character" w:customStyle="1" w:styleId="TextodegloboCar">
    <w:name w:val="Texto de globo Car"/>
    <w:basedOn w:val="Fuentedeprrafopredeter"/>
    <w:link w:val="Textodeglobo"/>
    <w:uiPriority w:val="99"/>
    <w:semiHidden/>
    <w:rsid w:val="00406CEE"/>
    <w:rPr>
      <w:rFonts w:ascii="Tahoma" w:eastAsia="Times New Roman" w:hAnsi="Tahoma" w:cs="Tahoma"/>
      <w:sz w:val="16"/>
      <w:szCs w:val="16"/>
    </w:rPr>
  </w:style>
  <w:style w:type="character" w:customStyle="1" w:styleId="apple-converted-space">
    <w:name w:val="apple-converted-space"/>
    <w:basedOn w:val="Fuentedeprrafopredeter"/>
    <w:rsid w:val="00E1009D"/>
  </w:style>
  <w:style w:type="paragraph" w:styleId="NormalWeb">
    <w:name w:val="Normal (Web)"/>
    <w:basedOn w:val="Normal"/>
    <w:uiPriority w:val="99"/>
    <w:semiHidden/>
    <w:unhideWhenUsed/>
    <w:rsid w:val="00D761C5"/>
    <w:pPr>
      <w:spacing w:before="100" w:beforeAutospacing="1" w:after="100" w:afterAutospacing="1"/>
    </w:pPr>
    <w:rPr>
      <w:rFonts w:eastAsia="Calibri"/>
      <w:lang w:eastAsia="en-GB"/>
    </w:rPr>
  </w:style>
  <w:style w:type="character" w:styleId="Hipervnculovisitado">
    <w:name w:val="FollowedHyperlink"/>
    <w:basedOn w:val="Fuentedeprrafopredeter"/>
    <w:uiPriority w:val="99"/>
    <w:semiHidden/>
    <w:unhideWhenUsed/>
    <w:rsid w:val="00A9062B"/>
    <w:rPr>
      <w:color w:val="954F72" w:themeColor="followedHyperlink"/>
      <w:u w:val="single"/>
    </w:rPr>
  </w:style>
  <w:style w:type="character" w:customStyle="1" w:styleId="UnresolvedMention">
    <w:name w:val="Unresolved Mention"/>
    <w:basedOn w:val="Fuentedeprrafopredeter"/>
    <w:uiPriority w:val="99"/>
    <w:rsid w:val="003D46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811">
      <w:bodyDiv w:val="1"/>
      <w:marLeft w:val="0"/>
      <w:marRight w:val="0"/>
      <w:marTop w:val="0"/>
      <w:marBottom w:val="0"/>
      <w:divBdr>
        <w:top w:val="none" w:sz="0" w:space="0" w:color="auto"/>
        <w:left w:val="none" w:sz="0" w:space="0" w:color="auto"/>
        <w:bottom w:val="none" w:sz="0" w:space="0" w:color="auto"/>
        <w:right w:val="none" w:sz="0" w:space="0" w:color="auto"/>
      </w:divBdr>
    </w:div>
    <w:div w:id="173349502">
      <w:bodyDiv w:val="1"/>
      <w:marLeft w:val="0"/>
      <w:marRight w:val="0"/>
      <w:marTop w:val="0"/>
      <w:marBottom w:val="0"/>
      <w:divBdr>
        <w:top w:val="none" w:sz="0" w:space="0" w:color="auto"/>
        <w:left w:val="none" w:sz="0" w:space="0" w:color="auto"/>
        <w:bottom w:val="none" w:sz="0" w:space="0" w:color="auto"/>
        <w:right w:val="none" w:sz="0" w:space="0" w:color="auto"/>
      </w:divBdr>
    </w:div>
    <w:div w:id="227615976">
      <w:bodyDiv w:val="1"/>
      <w:marLeft w:val="0"/>
      <w:marRight w:val="0"/>
      <w:marTop w:val="0"/>
      <w:marBottom w:val="0"/>
      <w:divBdr>
        <w:top w:val="none" w:sz="0" w:space="0" w:color="auto"/>
        <w:left w:val="none" w:sz="0" w:space="0" w:color="auto"/>
        <w:bottom w:val="none" w:sz="0" w:space="0" w:color="auto"/>
        <w:right w:val="none" w:sz="0" w:space="0" w:color="auto"/>
      </w:divBdr>
    </w:div>
    <w:div w:id="326713376">
      <w:bodyDiv w:val="1"/>
      <w:marLeft w:val="0"/>
      <w:marRight w:val="0"/>
      <w:marTop w:val="0"/>
      <w:marBottom w:val="0"/>
      <w:divBdr>
        <w:top w:val="none" w:sz="0" w:space="0" w:color="auto"/>
        <w:left w:val="none" w:sz="0" w:space="0" w:color="auto"/>
        <w:bottom w:val="none" w:sz="0" w:space="0" w:color="auto"/>
        <w:right w:val="none" w:sz="0" w:space="0" w:color="auto"/>
      </w:divBdr>
    </w:div>
    <w:div w:id="422338440">
      <w:bodyDiv w:val="1"/>
      <w:marLeft w:val="0"/>
      <w:marRight w:val="0"/>
      <w:marTop w:val="0"/>
      <w:marBottom w:val="0"/>
      <w:divBdr>
        <w:top w:val="none" w:sz="0" w:space="0" w:color="auto"/>
        <w:left w:val="none" w:sz="0" w:space="0" w:color="auto"/>
        <w:bottom w:val="none" w:sz="0" w:space="0" w:color="auto"/>
        <w:right w:val="none" w:sz="0" w:space="0" w:color="auto"/>
      </w:divBdr>
    </w:div>
    <w:div w:id="876624054">
      <w:bodyDiv w:val="1"/>
      <w:marLeft w:val="0"/>
      <w:marRight w:val="0"/>
      <w:marTop w:val="0"/>
      <w:marBottom w:val="0"/>
      <w:divBdr>
        <w:top w:val="none" w:sz="0" w:space="0" w:color="auto"/>
        <w:left w:val="none" w:sz="0" w:space="0" w:color="auto"/>
        <w:bottom w:val="none" w:sz="0" w:space="0" w:color="auto"/>
        <w:right w:val="none" w:sz="0" w:space="0" w:color="auto"/>
      </w:divBdr>
    </w:div>
    <w:div w:id="1001004843">
      <w:bodyDiv w:val="1"/>
      <w:marLeft w:val="0"/>
      <w:marRight w:val="0"/>
      <w:marTop w:val="0"/>
      <w:marBottom w:val="0"/>
      <w:divBdr>
        <w:top w:val="none" w:sz="0" w:space="0" w:color="auto"/>
        <w:left w:val="none" w:sz="0" w:space="0" w:color="auto"/>
        <w:bottom w:val="none" w:sz="0" w:space="0" w:color="auto"/>
        <w:right w:val="none" w:sz="0" w:space="0" w:color="auto"/>
      </w:divBdr>
    </w:div>
    <w:div w:id="1013723462">
      <w:bodyDiv w:val="1"/>
      <w:marLeft w:val="0"/>
      <w:marRight w:val="0"/>
      <w:marTop w:val="0"/>
      <w:marBottom w:val="0"/>
      <w:divBdr>
        <w:top w:val="none" w:sz="0" w:space="0" w:color="auto"/>
        <w:left w:val="none" w:sz="0" w:space="0" w:color="auto"/>
        <w:bottom w:val="none" w:sz="0" w:space="0" w:color="auto"/>
        <w:right w:val="none" w:sz="0" w:space="0" w:color="auto"/>
      </w:divBdr>
      <w:divsChild>
        <w:div w:id="112798337">
          <w:marLeft w:val="0"/>
          <w:marRight w:val="0"/>
          <w:marTop w:val="0"/>
          <w:marBottom w:val="0"/>
          <w:divBdr>
            <w:top w:val="none" w:sz="0" w:space="0" w:color="auto"/>
            <w:left w:val="none" w:sz="0" w:space="0" w:color="auto"/>
            <w:bottom w:val="none" w:sz="0" w:space="0" w:color="auto"/>
            <w:right w:val="none" w:sz="0" w:space="0" w:color="auto"/>
          </w:divBdr>
        </w:div>
        <w:div w:id="914826011">
          <w:marLeft w:val="0"/>
          <w:marRight w:val="0"/>
          <w:marTop w:val="0"/>
          <w:marBottom w:val="0"/>
          <w:divBdr>
            <w:top w:val="none" w:sz="0" w:space="0" w:color="auto"/>
            <w:left w:val="none" w:sz="0" w:space="0" w:color="auto"/>
            <w:bottom w:val="none" w:sz="0" w:space="0" w:color="auto"/>
            <w:right w:val="none" w:sz="0" w:space="0" w:color="auto"/>
          </w:divBdr>
        </w:div>
        <w:div w:id="1235117861">
          <w:marLeft w:val="0"/>
          <w:marRight w:val="0"/>
          <w:marTop w:val="0"/>
          <w:marBottom w:val="0"/>
          <w:divBdr>
            <w:top w:val="none" w:sz="0" w:space="0" w:color="auto"/>
            <w:left w:val="none" w:sz="0" w:space="0" w:color="auto"/>
            <w:bottom w:val="none" w:sz="0" w:space="0" w:color="auto"/>
            <w:right w:val="none" w:sz="0" w:space="0" w:color="auto"/>
          </w:divBdr>
        </w:div>
        <w:div w:id="737172097">
          <w:marLeft w:val="0"/>
          <w:marRight w:val="0"/>
          <w:marTop w:val="0"/>
          <w:marBottom w:val="0"/>
          <w:divBdr>
            <w:top w:val="none" w:sz="0" w:space="0" w:color="auto"/>
            <w:left w:val="none" w:sz="0" w:space="0" w:color="auto"/>
            <w:bottom w:val="none" w:sz="0" w:space="0" w:color="auto"/>
            <w:right w:val="none" w:sz="0" w:space="0" w:color="auto"/>
          </w:divBdr>
        </w:div>
        <w:div w:id="982736440">
          <w:marLeft w:val="0"/>
          <w:marRight w:val="0"/>
          <w:marTop w:val="0"/>
          <w:marBottom w:val="0"/>
          <w:divBdr>
            <w:top w:val="none" w:sz="0" w:space="0" w:color="auto"/>
            <w:left w:val="none" w:sz="0" w:space="0" w:color="auto"/>
            <w:bottom w:val="none" w:sz="0" w:space="0" w:color="auto"/>
            <w:right w:val="none" w:sz="0" w:space="0" w:color="auto"/>
          </w:divBdr>
        </w:div>
        <w:div w:id="724139048">
          <w:marLeft w:val="0"/>
          <w:marRight w:val="0"/>
          <w:marTop w:val="0"/>
          <w:marBottom w:val="0"/>
          <w:divBdr>
            <w:top w:val="none" w:sz="0" w:space="0" w:color="auto"/>
            <w:left w:val="none" w:sz="0" w:space="0" w:color="auto"/>
            <w:bottom w:val="none" w:sz="0" w:space="0" w:color="auto"/>
            <w:right w:val="none" w:sz="0" w:space="0" w:color="auto"/>
          </w:divBdr>
        </w:div>
        <w:div w:id="697779442">
          <w:marLeft w:val="0"/>
          <w:marRight w:val="0"/>
          <w:marTop w:val="0"/>
          <w:marBottom w:val="0"/>
          <w:divBdr>
            <w:top w:val="none" w:sz="0" w:space="0" w:color="auto"/>
            <w:left w:val="none" w:sz="0" w:space="0" w:color="auto"/>
            <w:bottom w:val="none" w:sz="0" w:space="0" w:color="auto"/>
            <w:right w:val="none" w:sz="0" w:space="0" w:color="auto"/>
          </w:divBdr>
        </w:div>
        <w:div w:id="476344248">
          <w:marLeft w:val="0"/>
          <w:marRight w:val="0"/>
          <w:marTop w:val="0"/>
          <w:marBottom w:val="0"/>
          <w:divBdr>
            <w:top w:val="none" w:sz="0" w:space="0" w:color="auto"/>
            <w:left w:val="none" w:sz="0" w:space="0" w:color="auto"/>
            <w:bottom w:val="none" w:sz="0" w:space="0" w:color="auto"/>
            <w:right w:val="none" w:sz="0" w:space="0" w:color="auto"/>
          </w:divBdr>
        </w:div>
        <w:div w:id="282854506">
          <w:marLeft w:val="0"/>
          <w:marRight w:val="0"/>
          <w:marTop w:val="0"/>
          <w:marBottom w:val="0"/>
          <w:divBdr>
            <w:top w:val="none" w:sz="0" w:space="0" w:color="auto"/>
            <w:left w:val="none" w:sz="0" w:space="0" w:color="auto"/>
            <w:bottom w:val="none" w:sz="0" w:space="0" w:color="auto"/>
            <w:right w:val="none" w:sz="0" w:space="0" w:color="auto"/>
          </w:divBdr>
        </w:div>
        <w:div w:id="1480727959">
          <w:marLeft w:val="0"/>
          <w:marRight w:val="0"/>
          <w:marTop w:val="0"/>
          <w:marBottom w:val="0"/>
          <w:divBdr>
            <w:top w:val="none" w:sz="0" w:space="0" w:color="auto"/>
            <w:left w:val="none" w:sz="0" w:space="0" w:color="auto"/>
            <w:bottom w:val="none" w:sz="0" w:space="0" w:color="auto"/>
            <w:right w:val="none" w:sz="0" w:space="0" w:color="auto"/>
          </w:divBdr>
        </w:div>
        <w:div w:id="689187096">
          <w:marLeft w:val="0"/>
          <w:marRight w:val="0"/>
          <w:marTop w:val="0"/>
          <w:marBottom w:val="0"/>
          <w:divBdr>
            <w:top w:val="none" w:sz="0" w:space="0" w:color="auto"/>
            <w:left w:val="none" w:sz="0" w:space="0" w:color="auto"/>
            <w:bottom w:val="none" w:sz="0" w:space="0" w:color="auto"/>
            <w:right w:val="none" w:sz="0" w:space="0" w:color="auto"/>
          </w:divBdr>
        </w:div>
        <w:div w:id="157429190">
          <w:marLeft w:val="0"/>
          <w:marRight w:val="0"/>
          <w:marTop w:val="0"/>
          <w:marBottom w:val="0"/>
          <w:divBdr>
            <w:top w:val="none" w:sz="0" w:space="0" w:color="auto"/>
            <w:left w:val="none" w:sz="0" w:space="0" w:color="auto"/>
            <w:bottom w:val="none" w:sz="0" w:space="0" w:color="auto"/>
            <w:right w:val="none" w:sz="0" w:space="0" w:color="auto"/>
          </w:divBdr>
        </w:div>
        <w:div w:id="265120413">
          <w:marLeft w:val="0"/>
          <w:marRight w:val="0"/>
          <w:marTop w:val="0"/>
          <w:marBottom w:val="0"/>
          <w:divBdr>
            <w:top w:val="none" w:sz="0" w:space="0" w:color="auto"/>
            <w:left w:val="none" w:sz="0" w:space="0" w:color="auto"/>
            <w:bottom w:val="none" w:sz="0" w:space="0" w:color="auto"/>
            <w:right w:val="none" w:sz="0" w:space="0" w:color="auto"/>
          </w:divBdr>
        </w:div>
        <w:div w:id="886452960">
          <w:marLeft w:val="0"/>
          <w:marRight w:val="0"/>
          <w:marTop w:val="0"/>
          <w:marBottom w:val="0"/>
          <w:divBdr>
            <w:top w:val="none" w:sz="0" w:space="0" w:color="auto"/>
            <w:left w:val="none" w:sz="0" w:space="0" w:color="auto"/>
            <w:bottom w:val="none" w:sz="0" w:space="0" w:color="auto"/>
            <w:right w:val="none" w:sz="0" w:space="0" w:color="auto"/>
          </w:divBdr>
        </w:div>
        <w:div w:id="1537814531">
          <w:marLeft w:val="0"/>
          <w:marRight w:val="0"/>
          <w:marTop w:val="0"/>
          <w:marBottom w:val="0"/>
          <w:divBdr>
            <w:top w:val="none" w:sz="0" w:space="0" w:color="auto"/>
            <w:left w:val="none" w:sz="0" w:space="0" w:color="auto"/>
            <w:bottom w:val="none" w:sz="0" w:space="0" w:color="auto"/>
            <w:right w:val="none" w:sz="0" w:space="0" w:color="auto"/>
          </w:divBdr>
        </w:div>
        <w:div w:id="1716663065">
          <w:marLeft w:val="0"/>
          <w:marRight w:val="0"/>
          <w:marTop w:val="0"/>
          <w:marBottom w:val="0"/>
          <w:divBdr>
            <w:top w:val="none" w:sz="0" w:space="0" w:color="auto"/>
            <w:left w:val="none" w:sz="0" w:space="0" w:color="auto"/>
            <w:bottom w:val="none" w:sz="0" w:space="0" w:color="auto"/>
            <w:right w:val="none" w:sz="0" w:space="0" w:color="auto"/>
          </w:divBdr>
        </w:div>
        <w:div w:id="1286153165">
          <w:marLeft w:val="0"/>
          <w:marRight w:val="0"/>
          <w:marTop w:val="0"/>
          <w:marBottom w:val="0"/>
          <w:divBdr>
            <w:top w:val="none" w:sz="0" w:space="0" w:color="auto"/>
            <w:left w:val="none" w:sz="0" w:space="0" w:color="auto"/>
            <w:bottom w:val="none" w:sz="0" w:space="0" w:color="auto"/>
            <w:right w:val="none" w:sz="0" w:space="0" w:color="auto"/>
          </w:divBdr>
        </w:div>
        <w:div w:id="40515885">
          <w:marLeft w:val="0"/>
          <w:marRight w:val="0"/>
          <w:marTop w:val="0"/>
          <w:marBottom w:val="0"/>
          <w:divBdr>
            <w:top w:val="none" w:sz="0" w:space="0" w:color="auto"/>
            <w:left w:val="none" w:sz="0" w:space="0" w:color="auto"/>
            <w:bottom w:val="none" w:sz="0" w:space="0" w:color="auto"/>
            <w:right w:val="none" w:sz="0" w:space="0" w:color="auto"/>
          </w:divBdr>
        </w:div>
        <w:div w:id="133064502">
          <w:marLeft w:val="0"/>
          <w:marRight w:val="0"/>
          <w:marTop w:val="0"/>
          <w:marBottom w:val="0"/>
          <w:divBdr>
            <w:top w:val="none" w:sz="0" w:space="0" w:color="auto"/>
            <w:left w:val="none" w:sz="0" w:space="0" w:color="auto"/>
            <w:bottom w:val="none" w:sz="0" w:space="0" w:color="auto"/>
            <w:right w:val="none" w:sz="0" w:space="0" w:color="auto"/>
          </w:divBdr>
        </w:div>
        <w:div w:id="1015575113">
          <w:marLeft w:val="0"/>
          <w:marRight w:val="0"/>
          <w:marTop w:val="0"/>
          <w:marBottom w:val="0"/>
          <w:divBdr>
            <w:top w:val="none" w:sz="0" w:space="0" w:color="auto"/>
            <w:left w:val="none" w:sz="0" w:space="0" w:color="auto"/>
            <w:bottom w:val="none" w:sz="0" w:space="0" w:color="auto"/>
            <w:right w:val="none" w:sz="0" w:space="0" w:color="auto"/>
          </w:divBdr>
        </w:div>
        <w:div w:id="77289196">
          <w:marLeft w:val="0"/>
          <w:marRight w:val="0"/>
          <w:marTop w:val="0"/>
          <w:marBottom w:val="0"/>
          <w:divBdr>
            <w:top w:val="none" w:sz="0" w:space="0" w:color="auto"/>
            <w:left w:val="none" w:sz="0" w:space="0" w:color="auto"/>
            <w:bottom w:val="none" w:sz="0" w:space="0" w:color="auto"/>
            <w:right w:val="none" w:sz="0" w:space="0" w:color="auto"/>
          </w:divBdr>
        </w:div>
      </w:divsChild>
    </w:div>
    <w:div w:id="1481652558">
      <w:bodyDiv w:val="1"/>
      <w:marLeft w:val="0"/>
      <w:marRight w:val="0"/>
      <w:marTop w:val="0"/>
      <w:marBottom w:val="0"/>
      <w:divBdr>
        <w:top w:val="none" w:sz="0" w:space="0" w:color="auto"/>
        <w:left w:val="none" w:sz="0" w:space="0" w:color="auto"/>
        <w:bottom w:val="none" w:sz="0" w:space="0" w:color="auto"/>
        <w:right w:val="none" w:sz="0" w:space="0" w:color="auto"/>
      </w:divBdr>
    </w:div>
    <w:div w:id="14903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ac.icann.org/sessions/gac-introductory-webinar-series-icann-s-complaint-off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ac.icann.org/sessions/gac-introductory-webinar-series-about-the-gnso-and-policy-development-process-pd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c.icann.org/sessions/gac-introductory-webinar-series-information-transparency-initiative-it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ac.icann.org/activity/gac-introductory-webinar-series-pilot-editi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ac.icann.org/activity/gac-capacity-development-workshops-2017-2018" TargetMode="External"/><Relationship Id="rId14" Type="http://schemas.openxmlformats.org/officeDocument/2006/relationships/hyperlink" Target="https://www.icann.org/public-comments/travel-support-guidelines-2018-05-3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AEF7-A3C7-42A7-A1AF-2480FF7C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1237</Words>
  <Characters>6809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8030</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Usuario</cp:lastModifiedBy>
  <cp:revision>5</cp:revision>
  <cp:lastPrinted>2013-11-27T05:14:00Z</cp:lastPrinted>
  <dcterms:created xsi:type="dcterms:W3CDTF">2018-06-07T03:41:00Z</dcterms:created>
  <dcterms:modified xsi:type="dcterms:W3CDTF">2018-07-01T20:02:00Z</dcterms:modified>
</cp:coreProperties>
</file>